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EnFG — Aufsicht durch die Bundesnetzagentur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Bundesnetzagentur hat die Aufgabe, zu überwachen, dass</w:t>
      </w:r>
    </w:p>
    <w:p>
      <w:pPr>
        <w:ind w:left="420"/>
      </w:pPr>
      <w:r>
        <w:t xml:space="preserve">1. die Übertragungsnetzbetreiber ordnungsgemäß nach den Vorgaben dieses Gesetzes</w:t>
      </w:r>
    </w:p>
    <w:p>
      <w:pPr>
        <w:ind w:left="780"/>
      </w:pPr>
      <w:r>
        <w:t xml:space="preserve">a) den EEG-Finanzierungsbedarf, den KWKG-Finanzierungsbedarf und die Umlagen ermitteln, mitteilen, festlegen, veröffentlichen, erheben und vereinnahmen,</w:t>
      </w:r>
    </w:p>
    <w:p>
      <w:pPr>
        <w:ind w:left="780"/>
      </w:pPr>
      <w:r>
        <w:t xml:space="preserve">b) die Kontoabrechnung nach § 6 durchführen,</w:t>
      </w:r>
    </w:p>
    <w:p>
      <w:pPr>
        <w:ind w:left="780"/>
      </w:pPr>
      <w:r>
        <w:t xml:space="preserve">c) den Ausgleichsmechanismus nach Teil 4 durchführen und</w:t>
      </w:r>
    </w:p>
    <w:p>
      <w:pPr>
        <w:ind w:left="780"/>
      </w:pPr>
      <w:r>
        <w:t xml:space="preserve">d) die Konten nach § 47 führen,</w:t>
      </w:r>
    </w:p>
    <w:p>
      <w:pPr>
        <w:ind w:left="420"/>
      </w:pPr>
      <w:r>
        <w:t xml:space="preserve">2. die Verteilernetzbetreiber ordnungsgemäß nach den Vorgaben dieses Gesetzes</w:t>
      </w:r>
    </w:p>
    <w:p>
      <w:pPr>
        <w:ind w:left="780"/>
      </w:pPr>
      <w:r>
        <w:t xml:space="preserve">a) die Umlagen erheben, vereinnahmen und weiterleiten,</w:t>
      </w:r>
    </w:p>
    <w:p>
      <w:pPr>
        <w:ind w:left="780"/>
      </w:pPr>
      <w:r>
        <w:t xml:space="preserve">b) die vermiedenen Netzentgelte nach § 13 Absatz 2 auszahlen, soweit sie nicht nach § 13 Absatz 3 zu saldieren sind,</w:t>
      </w:r>
    </w:p>
    <w:p>
      <w:pPr>
        <w:ind w:left="780"/>
      </w:pPr>
      <w:r>
        <w:t xml:space="preserve">c) etwaige Erlöse oder vermiedene Aufwendungen aus der Verwertung des nach § 4 Absatz 2 Satz 4 des Kraft-Wärme-Kopplungsgesetzes kaufmännisch abgenommenen Stroms weiterleiten,</w:t>
      </w:r>
    </w:p>
    <w:p>
      <w:pPr>
        <w:ind w:left="780"/>
      </w:pPr>
      <w:r>
        <w:t xml:space="preserve">d) den Ausgleichsmechanismus nach Teil 4 durchführen und</w:t>
      </w:r>
    </w:p>
    <w:p>
      <w:pPr>
        <w:ind w:left="780"/>
      </w:pPr>
      <w:r>
        <w:t xml:space="preserve">e) die Konten nach § 48 führen und</w:t>
      </w:r>
    </w:p>
    <w:p>
      <w:pPr>
        <w:ind w:left="420"/>
      </w:pPr>
      <w:r>
        <w:t xml:space="preserve">3. die Daten nach den §§ 49 bis 52 und nach § 59 übermittelt und die Daten nach § 51 Absatz 1 und 2 veröffentlicht werden.</w:t>
      </w:r>
    </w:p>
    <w:p>
      <w:r>
        <w:t xml:space="preserve">(2) Die Bundesnetzagentur kann unter Berücksichtigung des Ziels nach § 1 des Erneuerbare-Energien-Gesetzes und § 1 Absatz 1 des Kraft-Wärme-Kopplungsgesetzes Festlegungen nach § 29 Absatz 1 des Energiewirtschaftsgesetzes treffen</w:t>
      </w:r>
    </w:p>
    <w:p>
      <w:pPr>
        <w:ind w:left="420"/>
      </w:pPr>
      <w:r>
        <w:t xml:space="preserve">1. zu den Voraussetzungen der Verringerung der Umlagen nach § 21 und zu den insoweit zu erfüllenden Anforderungen, insbesondere</w:t>
      </w:r>
    </w:p>
    <w:p>
      <w:pPr>
        <w:ind w:left="780"/>
      </w:pPr>
      <w:r>
        <w:t xml:space="preserve">a) zu dem Nachweis der Netzentnahme,</w:t>
      </w:r>
    </w:p>
    <w:p>
      <w:pPr>
        <w:ind w:left="780"/>
      </w:pPr>
      <w:r>
        <w:t xml:space="preserve">b) zu dem Nachweis der Netzeinspeisung,</w:t>
      </w:r>
    </w:p>
    <w:p>
      <w:pPr>
        <w:ind w:left="780"/>
      </w:pPr>
      <w:r>
        <w:t xml:space="preserve">c) zu den Mindestanforderungen, die erfüllt sein müssen, um eine mess- und eichrechtskonforme Erfassung oder Abgrenzung der relevanten Strommengen sicherzustellen, und</w:t>
      </w:r>
    </w:p>
    <w:p>
      <w:pPr>
        <w:ind w:left="780"/>
      </w:pPr>
      <w:r>
        <w:t xml:space="preserve">d) zu den Bedingungen für eine Anwendung von § 21 Absatz 4a für den Fall, dass die Inbetriebnahme des Stromspeichers oder ein Wechsel in die Pauschaloption nach § 19 Absatz 3c des Erneuerbare-Energien-Gesetzes während des laufenden Kalenderjahres erfolgt,</w:t>
      </w:r>
    </w:p>
    <w:p>
      <w:pPr>
        <w:ind w:left="420"/>
      </w:pPr>
      <w:r>
        <w:t xml:space="preserve">2. im Anwendungsbereich des § 25 dazu, welche Verbrauchsgeräte als Einrichtungen zur Herstellung von Grünem Wasserstoff anzusehen sind.</w:t>
      </w:r>
    </w:p>
    <w:p>
      <w:r>
        <w:t xml:space="preserve">(3) Für die Wahrnehmung der Aufgaben der Bundesnetzagentur nach diesem Gesetz und den auf Grund dieses Gesetzes erlassenen Rechtsverordnungen sind die Bestimmungen des Teils 8 des Energiewirtschaftsgesetzes mit Ausnahme von § 69 Absatz 1 Satz 2 und Absatz 10, der §§ 91 und 95 bis 101 sowie des Abschnitts 6 entsprechend anzuwenden. Die Befugnisse nach Satz 1 gelten gegenüber Personen, die keine Unternehmen sind, entsprechend.</w:t>
      </w:r>
    </w:p>
    <w:p>
      <w:r>
        <w:rPr>
          <w:color w:val="555555"/>
          <w:sz w:val="17"/>
        </w:rPr>
        <w:t xml:space="preserve">Zitiervorschlag: § 62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