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EnFG — Ausgleichsanspruch</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Wenn der Saldo des EEG-Kontos zum Ablauf des 31. Dezember eines jeden Kalenderjahres negativ ist, haben die Übertragungsnetzbetreiber gegen die Bundesrepublik Deutschland einen Anspruch auf Ausgleich in Höhe des Betrages, der dem negativen Saldo entspricht. Wenn der Saldo des EEG-Kontos zum Ablauf des 31. Dezember eines jeden Kalenderjahres positiv ist, hat die Bundesrepublik Deutschland einen Anspruch gegen die Übertragungsnetzbetreiber auf Ausgleich in Höhe des Betrages, der dem positiven Saldo entspricht, höchstens jedoch in Höhe der Summe der Zahlungen, die die Bundesrepublik Deutschland zur Deckung des EEG-Finanzierungsbedarfs nach diesem Gesetz oder vor dem 1. Januar 2023 zur Absenkung der EEG-Umlage nach § 3 Absatz 3 Nummer 3a der Erneuerbare-Energien-Verordnung in der am 31. Dezember 2022 geltenden Fassung an die Übertragungsnetzbetreiber geleistet hat und die noch nicht zurückgezahlt wurde. Von dem Anspruch nach Satz 1 sind die Kosten für die Anschlussförderung von Güllekleinanlagen nach Abschnitt 3a der Erneuerbare-Energien-Verordnung ausgenommen; diese Kosten werden nach Maßgabe des § 8 ausgeglichen.</w:t>
      </w:r>
    </w:p>
    <w:p>
      <w:r>
        <w:t xml:space="preserve">(2) Die Übertragungsnetzbetreiber übermitteln der Bundesnetzagentur und dem Bundesministerium für Wirtschaft und Energie bis zum 31. März eines Kalenderjahres für das jeweils vorangegangene Kalenderjahr eine gemeinsame und von einem Prüfer geprüfte Kontoabrechnung für den sich nach Absatz 1 Satz 1 oder 2 ergebenden Anspruch. Die Bundesnetzagentur prüft die Höhe der Kontoabrechnung auf Plausibilität und teilt das Ergebnis der Prüfung den Übertragungsnetzbetreibern und dem Bundesministerium für Wirtschaft und Energie innerhalb von vier Wochen nach Zugang der Kontoabrechnung mit. § 62 dieses Gesetzes und § 85 des Erneuerbare-Energien-Gesetzes bleiben unberührt.</w:t>
      </w:r>
    </w:p>
    <w:p>
      <w:r>
        <w:t xml:space="preserve">(3) Der Anspruch nach Absatz 1 Satz 1 wird vier Wochen nach Zugang der Mitteilung der Bundesnetzagentur nach Absatz 2 Satz 2 beim Bundesministerium für Wirtschaft und Energie, spätestens aber drei Monate nach Zugang der Kontoabrechnung nach Absatz 2 Satz 1 beim Bundesministerium für Wirtschaft und Energie fällig. Die Bundesrepublik Deutschland kann nach Zugang der Mitteilung der Bundesnetzagentur nach Absatz 2 Satz 2 auch vor dem Eintritt der Fälligkeit leisten. Sie kann in Ausnahmefällen mit befreiender Wirkung gegenüber allen Übertragungsnetzbetreibern an einen Übertragungsnetzbetreiber leisten. Der Anspruch nach Absatz 1 Satz 2 wird vier Wochen nach Zugang der Mitteilung der Bundesnetzagentur nach Absatz 2 Satz 2 bei den Übertragungsnetzbetreibern, spätestens aber drei Monate nach Zugang der Kontoabrechnung nach Absatz 2 Satz 1 beim Bundesministerium für Wirtschaft und Energie fällig. Die Übertragungsnetzbetreiber können nach Zugang der Mitteilung der Bundesnetzagentur nach Absatz 2 Satz 2 auch vor Eintritt der Fälligkeit leisten.</w:t>
      </w:r>
    </w:p>
    <w:p>
      <w:r>
        <w:t xml:space="preserve">(4) Die Bundesrepublik Deutschland kann auch vor Fälligkeit die Aufrechnung ihrer Forderung gegen die Übertragungsnetzbetreiber aus Absatz 1 Satz 2 gegen Forderungen der Übertragungsnetzbetreiber gegen die Bundesrepublik Deutschland aus § 7 Absatz 1 im laufenden Kalenderjahr erklären. Die Aufrechnung kann erklärt werden, sobald dem Bundesministerium für Wirtschaft und Energie die Mitteilung der Bundesnetzagentur nach Absatz 2 Satz 2 zugegangen ist und soweit darin die Forderung von der Bundesnetzagentur nicht beanstandet wurde. Die Aufrechnung durch die Übertragungsnetzbetreiber sowie die Aufrechnung weiterer gegenseitiger Forderungen aufgrund dieses Gesetzes ist nur zulässig, wenn und soweit sie in dem öffentlich-rechtlichen Vertrag nach § 9 Absatz 1 Satz 2 Nummer 1 nach dem Ablauf des 22. Dezember 2025 ausdrücklich vereinbart wird.</w:t>
      </w:r>
    </w:p>
    <w:p>
      <w:r>
        <w:rPr>
          <w:color w:val="555555"/>
          <w:sz w:val="17"/>
        </w:rPr>
        <w:t xml:space="preserve">Zitiervorschlag: § 6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