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EnFG — Bundesamt für Wirtschaft und Ausfuhrkontrolle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die Ermittlung der Umlagen muss das Bundesamt für Wirtschaft und Ausfuhrkontrolle den Übertragungsnetzbetreibern die folgenden Daten mitteilen:</w:t>
      </w:r>
    </w:p>
    <w:p>
      <w:pPr>
        <w:ind w:left="420"/>
      </w:pPr>
      <w:r>
        <w:t xml:space="preserve">1. bis zum 15. September eines Kalenderjahres</w:t>
      </w:r>
    </w:p>
    <w:p>
      <w:pPr>
        <w:ind w:left="780"/>
      </w:pPr>
      <w:r>
        <w:t xml:space="preserve">a) die zur Auszahlung für das folgende Kalenderjahr prognostizierte Fördersumme für Wärme- und Kältenetze, getrennt nach Regelzonen,</w:t>
      </w:r>
    </w:p>
    <w:p>
      <w:pPr>
        <w:ind w:left="780"/>
      </w:pPr>
      <w:r>
        <w:t xml:space="preserve">b) die zur Auszahlung für das folgende Kalenderjahr prognostizierte Fördersumme für Wärme- und Kältespeicher, getrennt nach Regelzonen, und</w:t>
      </w:r>
    </w:p>
    <w:p>
      <w:pPr>
        <w:ind w:left="420"/>
      </w:pPr>
      <w:r>
        <w:t xml:space="preserve">2. die von den stromkostenintensiven Unternehmen in den Anträgen nach § 29 Absatz 2 abgegebenen Prognosen unverzüglich nach Ablauf der Antragsfrist.</w:t>
      </w:r>
    </w:p>
    <w:p>
      <w:r>
        <w:t xml:space="preserve">Bei der Meldung nach Satz 1 Nummer 1 hat das Bundesamt für Wirtschaft und Ausfuhrkontrolle Anträge, die aufgrund der Begrenzung der Zuschlagssumme nach § 26 Absatz 3 des Kraft-Wärme-Kopplungsgesetzes nicht berücksichtigt wurden, in der Zuschlagssumme für das jeweils nächste Kalenderjahr zu berücksichtigen.</w:t>
      </w:r>
    </w:p>
    <w:p>
      <w:r>
        <w:rPr>
          <w:color w:val="555555"/>
          <w:sz w:val="17"/>
        </w:rPr>
        <w:t xml:space="preserve">Zitiervorschlag: § 57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