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56 EnFG — Beihilfetransparenzpflichten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Letztverbraucher, bei denen die Verringerung und Begrenzung aller Umlagen nach Teil 4 bezogen auf das letzte Kalenderjahr 100 000 Euro oder mehr beträgt, müssen dem Übertragungsnetzbetreiber bis zum 31. Juli eines Kalenderjahres folgende Angaben mitteilen:</w:t>
      </w:r>
    </w:p>
    <w:p>
      <w:pPr>
        <w:ind w:left="420"/>
      </w:pPr>
      <w:r>
        <w:t xml:space="preserve">1. ihren Namen und ihre Anschrift,</w:t>
      </w:r>
    </w:p>
    <w:p>
      <w:pPr>
        <w:ind w:left="420"/>
      </w:pPr>
      <w:r>
        <w:t xml:space="preserve">2. wenn zutreffend, das Handelsregister, Vereinsregister oder Genossenschaftsregister, in das sie eingetragen sind, und die entsprechende Registernummer; wenn keine Registernummer zugeteilt wurde, ist hilfsweise, soweit vorhanden, die Umsatzsteuer-Identifikationsnummer anzugeben,</w:t>
      </w:r>
    </w:p>
    <w:p>
      <w:pPr>
        <w:ind w:left="420"/>
      </w:pPr>
      <w:r>
        <w:t xml:space="preserve">3. die Summe der aufgrund der Verringerung oder des Entfallens der Umlagenpflicht ersparten Umlagezahlungen in Euro und Cent, wobei eine Angabe in Spannen wie folgt genügt: 0,1 bis 0,5, 0,5 bis 1, 1 bis 2, 2 bis 5, 5 bis 10, 10 bis 30, 30 bis 60, 60 bis 100, 100 bis 250, 250 Millionen Euro oder mehr,</w:t>
      </w:r>
    </w:p>
    <w:p>
      <w:pPr>
        <w:ind w:left="420"/>
      </w:pPr>
      <w:r>
        <w:t xml:space="preserve">4. die Angabe, ob der Letztverbraucher ein Unternehmen im Sinn der Empfehlung 2003/361/EG der Kommission vom 6. Mai 2003 betreffend die Definition der Kleinstunternehmen sowie der kleinen und mittleren Unternehmen (ABl. L 124 vom 20.5.2003, S. 36) in der jeweils geltenden Fassung oder ein sonstiges Unternehmen ist,</w:t>
      </w:r>
    </w:p>
    <w:p>
      <w:pPr>
        <w:ind w:left="420"/>
      </w:pPr>
      <w:r>
        <w:t xml:space="preserve">5. die Gebietseinheit der NUTS-Ebene 2, in der der Letztverbraucher seinen Sitz hat, nach der Verordnung (EG) Nr. 1059/2003 und</w:t>
      </w:r>
    </w:p>
    <w:p>
      <w:pPr>
        <w:ind w:left="420"/>
      </w:pPr>
      <w:r>
        <w:t xml:space="preserve">6. den Hauptwirtschaftszweig, in dem der Letztverbraucher tätig ist, auf Ebene der NACE-Gruppe nach der Verordnung (EG) Nr. 1893/2006.</w:t>
      </w:r>
    </w:p>
    <w:p>
      <w:r>
        <w:t xml:space="preserve">(2) Wenn die Mitteilung nach Absatz 1 Verringerungen und Begrenzungen in verschiedenen Regelzonen betrifft, muss der Letztverbraucher eine Gesamtmitteilung an einen Übertragungsnetzbetreiber tätigen. Übertragungsnetzbetreiber melden eingegangene Mitteilungen unverzüglich an andere Übertragungsnetzbetreiber im Bundesgebiet.</w:t>
      </w:r>
    </w:p>
    <w:p>
      <w:r>
        <w:t xml:space="preserve">(3) Wenn die Übertragungsnetzbetreiber ein abweichendes Verfahren zur Übermittlung der Angaben nach Absatz 1 vorsehen und Formularvorlagen zu Form und Inhalt der Mitteilung der Angaben nach Absatz 1 bereitstellen, müssen die Angaben unter Verwendung dieser Formularvorlagen nach dem vorgegebenen Verfahren übermittelt werden.</w:t>
      </w:r>
    </w:p>
    <w:p>
      <w:r>
        <w:t xml:space="preserve">(4) Die Übertragungsnetzbetreiber veröffentlichen bis zum 31. Dezember eines Jahres die ihnen nach Absatz 1 mitgeteilten Angaben durch Einstellung in die Transparenzdatenbank der Europäischen Kommission.</w:t>
      </w:r>
    </w:p>
    <w:p>
      <w:r>
        <w:t xml:space="preserve">(5) Wer zur Mitteilung nach Absatz 1 verpflichtet ist, muss dem Übertragungsnetzbetreiber auf Verlangen geeignete Nachweise zur Überprüfung der Angaben nach Absatz 1 vorlegen. Satz 1 ist im Verhältnis zwischen den Netzbetreibern entsprechend anzuwenden.</w:t>
      </w:r>
    </w:p>
    <w:p>
      <w:r>
        <w:t xml:space="preserve">(6) Wenn Letztverbraucher in einem Kalenderjahr die nach Absatz 1 geforderten Angaben im Rahmen des Antragsverfahrens nach Teil 4 Abschnitt 4 an das Bundesamt für Wirtschaft und Ausfuhrkontrolle übermittelt haben, sind sie von der Mitteilungspflicht nach Absatz 1 befreit.</w:t>
      </w:r>
    </w:p>
    <w:p>
      <w:r>
        <w:rPr>
          <w:color w:val="555555"/>
          <w:sz w:val="17"/>
        </w:rPr>
        <w:t xml:space="preserve">Zitiervorschlag: § 56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https://recht.nulegal.eu/gesetze/EnFG/56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