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EnFG — Testierung</w:t>
      </w:r>
    </w:p>
    <w:p>
      <w:r>
        <w:rPr>
          <w:color w:val="555555"/>
          <w:sz w:val="18"/>
        </w:rPr>
        <w:t xml:space="preserve">Energiefinanzierungsgesetz</w:t>
      </w:r>
    </w:p>
    <w:p>
      <w:r>
        <w:rPr>
          <w:color w:val="555555"/>
          <w:sz w:val="18"/>
        </w:rPr>
        <w:t xml:space="preserve">Stand: 01.01.2023 (konsolidierte Textfassung, kein amtliches Inkrafttretensdatum)</w:t>
      </w:r>
    </w:p>
    <w:p>
      <w:r>
        <w:t xml:space="preserve">(1) Die zusammengefassten Endabrechnungen der Verteilernetzbetreiber nach § 50 Nummer 2 und die Endabrechnung unter den Übertragungsnetzbetreibern nach § 19 Absatz 1 Nummer 1 müssen durch einen Prüfer geprüft werden. Im Übrigen können die Netzbetreiber verlangen, dass die Endabrechnungen nach § 19 sowie die hierzu erforderlichen Mitteilungen nach den §§ 49 bis 52 bei Vorlage durch einen Prüfer geprüft werden. Bei der Prüfung sind zu berücksichtigen:</w:t>
      </w:r>
    </w:p>
    <w:p>
      <w:pPr>
        <w:ind w:left="420"/>
      </w:pPr>
      <w:r>
        <w:t xml:space="preserve">1. die höchstrichterliche Rechtsprechung,</w:t>
      </w:r>
    </w:p>
    <w:p>
      <w:pPr>
        <w:ind w:left="420"/>
      </w:pPr>
      <w:r>
        <w:t xml:space="preserve">2. Entscheidungen der Bundesnetzagentur und</w:t>
      </w:r>
    </w:p>
    <w:p>
      <w:pPr>
        <w:ind w:left="420"/>
      </w:pPr>
      <w:r>
        <w:t xml:space="preserve">3. Ergebnisse eines zwischen den Verfahrensparteien durchgeführten Verfahrens der Clearingstelle nach § 81 Absatz 4 Satz 1 Nummer 1 oder Nummer 2 des Erneuerbare-Energien-Gesetzes oder § 32a Absatz 4 Satz 1 Nummer 1 oder Nummer 2 des Kraft-Wärme-Kopplungsgesetzes und die Ergebnisse eines Verfahrens der Clearingstelle nach § 81 Absatz 5 des Erneuerbare-Energien-Gesetzes oder § 32a Absatz 5 des Kraft-Wärme-Kopplungsgesetzes.</w:t>
      </w:r>
    </w:p>
    <w:p>
      <w:r>
        <w:t xml:space="preserve">(2) Zu den Prüfungen nach Absatz 1 muss jeweils ein gesonderter Prüfungsvermerk erteilt und vorgelegt werden. Werden die Abrechnungen nach Absatz 1 nach Erteilung des Prüfvermerks geändert, muss der Prüfer, der die ursprüngliche Prüfung durchgeführt hat, diese Unterlagen erneut prüfen, soweit es die Änderung erforderlich macht. Der Prüfungsvermerk ist um das Ergebnis der Nachtragsprüfung zu ergänzen.</w:t>
      </w:r>
    </w:p>
    <w:p>
      <w:r>
        <w:t xml:space="preserve">(3) Für Prüfungen nach diesem Paragrafen sind § 319 Absatz 2 bis 4, § 319b Absatz 1, § 320 Absatz 2 und § 323 des Handelsgesetzbuchs entsprechend anzuwenden.</w:t>
      </w:r>
    </w:p>
    <w:p>
      <w:r>
        <w:rPr>
          <w:color w:val="555555"/>
          <w:sz w:val="17"/>
        </w:rPr>
        <w:t xml:space="preserve">Zitiervorschlag: § 55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