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EnFG — Verstoß gegen Mitteilungspflichten</w:t>
      </w:r>
    </w:p>
    <w:p>
      <w:r>
        <w:rPr>
          <w:color w:val="555555"/>
          <w:sz w:val="18"/>
        </w:rPr>
        <w:t xml:space="preserve">Energiefinanzierungsgesetz</w:t>
      </w:r>
    </w:p>
    <w:p>
      <w:r>
        <w:rPr>
          <w:color w:val="555555"/>
          <w:sz w:val="18"/>
        </w:rPr>
        <w:t xml:space="preserve">Stand: 23.12.2025 (konsolidierte Textfassung, kein amtliches Inkrafttretensdatum)</w:t>
      </w:r>
    </w:p>
    <w:p>
      <w:r>
        <w:t xml:space="preserve">(1) Der nach Teil 4 verringerte Anspruch auf Zahlung der Umlagen erhöht sich auf 100 Prozent, soweit die folgenden Mitteilungspflichten nicht oder nicht rechtzeitig erfüllt worden sind:</w:t>
      </w:r>
    </w:p>
    <w:p>
      <w:pPr>
        <w:ind w:left="420"/>
      </w:pPr>
      <w:r>
        <w:t xml:space="preserve">1. die Mitteilungspflichten nach § 52 Absatz 1 Nummer 2 und 3,</w:t>
      </w:r>
    </w:p>
    <w:p>
      <w:pPr>
        <w:ind w:left="420"/>
      </w:pPr>
      <w:r>
        <w:t xml:space="preserve">2. die Mitteilungspflicht nach § 52 Absatz 1 Nummer 4, soweit sie sich auf die Angaben nach § 52 Absatz 1 Nummer 2 und 3 bezieht, und</w:t>
      </w:r>
    </w:p>
    <w:p>
      <w:pPr>
        <w:ind w:left="420"/>
      </w:pPr>
      <w:r>
        <w:t xml:space="preserve">3. die Mitteilungspflichten nach § 52 Absatz 2, 2a und 3.</w:t>
      </w:r>
    </w:p>
    <w:p>
      <w:r>
        <w:t xml:space="preserve">(2) Der nach Teil 4 verringerte Anspruch auf Zahlung der Umlagen erhöht sich für das jeweilige Kalenderjahr um 20 Prozentpunkte, soweit die folgenden Mitteilungspflichten nicht spätestens bis zum 31. März des Jahres erfüllt werden, das auf das Kalenderjahr folgt, in dem diese Mitteilungspflicht unverzüglich zu erfüllen gewesen wäre:</w:t>
      </w:r>
    </w:p>
    <w:p>
      <w:pPr>
        <w:ind w:left="420"/>
      </w:pPr>
      <w:r>
        <w:t xml:space="preserve">1. die Mitteilungspflicht nach § 52 Absatz 1 Satz 1 Nummer 1 und</w:t>
      </w:r>
    </w:p>
    <w:p>
      <w:pPr>
        <w:ind w:left="420"/>
      </w:pPr>
      <w:r>
        <w:t xml:space="preserve">2. die Mitteilungspflicht nach § 52 Absatz 1 Satz 1 Nummer 4, soweit sie sich auf die Angaben nach § 52 Absatz 1 Satz 1 Nummer 1 bezieht.</w:t>
      </w:r>
    </w:p>
    <w:p>
      <w:r>
        <w:t xml:space="preserve">Der Fristablauf nach Satz 1 verschiebt sich, soweit für die Mitteilung nach § 52 Absatz 2 eine spätere Frist als der 31. März vorgesehen ist, auf das Datum der späteren Frist.</w:t>
      </w:r>
    </w:p>
    <w:p>
      <w:r>
        <w:rPr>
          <w:color w:val="555555"/>
          <w:sz w:val="17"/>
        </w:rPr>
        <w:t xml:space="preserve">Zitiervorschlag: § 53 EnFG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https://recht.nulegal.eu/gesetze/EnFG/53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