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51 EnFG — Übertragungsnetzbetreiber</w:t>
      </w:r>
    </w:p>
    <w:p>
      <w:r>
        <w:rPr>
          <w:color w:val="555555"/>
          <w:sz w:val="18"/>
        </w:rPr>
        <w:t xml:space="preserve">Energiefinanzierungsgesetz</w:t>
      </w:r>
    </w:p>
    <w:p>
      <w:r>
        <w:rPr>
          <w:color w:val="555555"/>
          <w:sz w:val="18"/>
        </w:rPr>
        <w:t xml:space="preserve">Stand: 23.12.2025 (konsolidierte Textfassung, kein amtliches Inkrafttretensdatum)</w:t>
      </w:r>
    </w:p>
    <w:p>
      <w:r>
        <w:t xml:space="preserve">(1) Die Übertragungsnetzbetreiber müssen auf ihrer gemeinsamen Internetseite veröffentlichen:</w:t>
      </w:r>
    </w:p>
    <w:p>
      <w:pPr>
        <w:ind w:left="420"/>
      </w:pPr>
      <w:r>
        <w:t xml:space="preserve">1. unverzüglich nach ihrer Übermittlung die Angaben nach den §§ 49, 50 und 52 einschließlich der Angaben zu den unmittelbar an ihr Netz angeschlossenen Anlagen,</w:t>
      </w:r>
    </w:p>
    <w:p>
      <w:pPr>
        <w:ind w:left="420"/>
      </w:pPr>
      <w:r>
        <w:t xml:space="preserve">2. bis zum 15. September eines Kalenderjahres</w:t>
      </w:r>
    </w:p>
    <w:p>
      <w:pPr>
        <w:ind w:left="780"/>
      </w:pPr>
      <w:r>
        <w:t xml:space="preserve">a) die Angaben und die Endabrechnungen im Sinn des § 50 Nummer 1 und 2 für Anlagen, die unmittelbar oder mittelbar an ihr Netz angeschlossen sind,</w:t>
      </w:r>
    </w:p>
    <w:p>
      <w:pPr>
        <w:ind w:left="780"/>
      </w:pPr>
      <w:r>
        <w:t xml:space="preserve">b) die Endabrechnungen für die Umlagen, die</w:t>
      </w:r>
    </w:p>
    <w:p>
      <w:pPr>
        <w:ind w:left="1140"/>
      </w:pPr>
      <w:r>
        <w:t xml:space="preserve">aa) nach § 12 Absatz 1 unmittelbar von den Übertragungsnetzbetreibern bei der Berechnung der Netzentgelte als jeweils eigenständiger Aufschlag auf die Netzentnahme erhoben werden,</w:t>
      </w:r>
    </w:p>
    <w:p>
      <w:pPr>
        <w:ind w:left="1140"/>
      </w:pPr>
      <w:r>
        <w:t xml:space="preserve">bb) nach § 12 Absatz 2 oder Absatz 3 unmittelbar von den Übertragungsnetzbetreibern als eigenständige Umlage erhoben werden,</w:t>
      </w:r>
    </w:p>
    <w:p>
      <w:pPr>
        <w:ind w:left="780"/>
      </w:pPr>
      <w:r>
        <w:t xml:space="preserve">c) zusammengefasst für jeden Verteilernetzbetreiber</w:t>
      </w:r>
    </w:p>
    <w:p>
      <w:pPr>
        <w:ind w:left="1140"/>
      </w:pPr>
      <w:r>
        <w:t xml:space="preserve">aa) die Endabrechnungen nach § 50 Nummer 2 Buchstabe a sowie die Zahlungen nach § 13 Absatz 1 und</w:t>
      </w:r>
    </w:p>
    <w:p>
      <w:pPr>
        <w:ind w:left="1140"/>
      </w:pPr>
      <w:r>
        <w:t xml:space="preserve">bb) die Endabrechnungen nach § 50 Nummer 2 Buchstabe b und</w:t>
      </w:r>
    </w:p>
    <w:p>
      <w:pPr>
        <w:ind w:left="420"/>
      </w:pPr>
      <w:r>
        <w:t xml:space="preserve">3. bis zum 25. Oktober eines Kalenderjahres</w:t>
      </w:r>
    </w:p>
    <w:p>
      <w:pPr>
        <w:ind w:left="780"/>
      </w:pPr>
      <w:r>
        <w:t xml:space="preserve">a) die Ermittlung des EEG-Finanzierungsbedarfs, der voraussichtlichen Höhe eines Anspruchs nach § 6 Absatz 1 Satz 1 oder 2 für das laufende Kalenderjahr, des KWKG-Finanzierungsbedarfs und der Offshore-Anbindungskosten und</w:t>
      </w:r>
    </w:p>
    <w:p>
      <w:pPr>
        <w:ind w:left="780"/>
      </w:pPr>
      <w:r>
        <w:t xml:space="preserve">b) den Wert des Abzugs für Strom aus ausgeförderten Anlagen nach § 53 Absatz 4 des Erneuerbare-Energien-Gesetzes für das folgende Kalenderjahr.</w:t>
      </w:r>
    </w:p>
    <w:p>
      <w:r>
        <w:t xml:space="preserve">(2) Bei der Veröffentlichung nach Absatz 1 Nummer 3 Buchstabe a sind die Datengrundlagen, Annahmen, Rechenwege, Berechnungen und Endwerte, die in die Ermittlung der jeweiligen Angaben nach Absatz 1 Nummer 3 Buchstabe a eingeflossen sind, anzugeben.</w:t>
      </w:r>
    </w:p>
    <w:p>
      <w:r>
        <w:t xml:space="preserve">(3) Bei der Veröffentlichung nach den Absätzen 1 und 2</w:t>
      </w:r>
    </w:p>
    <w:p>
      <w:pPr>
        <w:ind w:left="420"/>
      </w:pPr>
      <w:r>
        <w:t xml:space="preserve">1. dürfen Standortangaben zu Straße, Hausnummer, Flurstückbezeichnungen und Geokoordinaten von Anlagen mit einer installierten Leistung bis einschließlich 30 Kilowatt nicht veröffentlicht werden,</w:t>
      </w:r>
    </w:p>
    <w:p>
      <w:pPr>
        <w:ind w:left="420"/>
      </w:pPr>
      <w:r>
        <w:t xml:space="preserve">2. dürfen Angaben zu Anlagenbetreibern, die natürliche Personen sind, nicht veröffentlicht werden und</w:t>
      </w:r>
    </w:p>
    <w:p>
      <w:pPr>
        <w:ind w:left="420"/>
      </w:pPr>
      <w:r>
        <w:t xml:space="preserve">3. müssen Angaben, die im Register im Internet veröffentlicht werden, nicht veröffentlicht werden, wenn die Veröffentlichung unter Angabe der eindeutigen Nummern im Register erfolgt; die verbleibenden anlagenbezogenen Angaben müssen in Verbindung mit der Nummer im Register veröffentlicht werden.</w:t>
      </w:r>
    </w:p>
    <w:p>
      <w:r>
        <w:t xml:space="preserve">Für die Bestimmung der installierten Leistung nach Satz 1 Nummer 1 sind mehrere Solaranlagen als eine Solaranlage anzusehen, wenn sie von demselben Anlagenbetreiber an demselben Standort gleichzeitig in Betrieb genommen wurden.</w:t>
      </w:r>
    </w:p>
    <w:p>
      <w:r>
        <w:t xml:space="preserve">(4) Die Angaben nach den Absätzen 1 bis 3 müssen einen sachkundigen Dritten in die Lage versetzen, ohne weitere Informationen die jeweiligen Ermittlungen, Zahlungen und die kaufmännisch abgenommenen Energiemengen vollständig nachvollziehen zu können.</w:t>
      </w:r>
    </w:p>
    <w:p>
      <w:r>
        <w:t xml:space="preserve">(5) Die Übertragungsnetzbetreiber müssen die nach den Absätzen 1 und 2 zu veröffentlichenden Angaben bis zum Ablauf des folgenden Kalenderjahres vorhalten.</w:t>
      </w:r>
    </w:p>
    <w:p>
      <w:r>
        <w:t xml:space="preserve">(6) Für die Zwecke des § 50 Nummer 3 teilen die Übertragungsnetzbetreiber die nach § 57 Satz 1 Nummer 2 vom Bundesamt für Wirtschaft und Ausfuhrkontrolle erhaltenen Prognosedaten dem jeweiligen Netzbetreiber unverzüglich mit.</w:t>
      </w:r>
    </w:p>
    <w:p>
      <w:r>
        <w:t xml:space="preserve">(7) Die Übertragungsnetzbetreiber teilen dem Bundesamt für Wirtschaft und Ausfuhrkontrolle die zur Ermittlung der Kürzung der Zuschlagzahlungen nach § 26 Absatz 3 des Kraft-Wärme-Kopplungsgesetzes erforderlichen Angaben auf Grundlage der gemeldeten Prognosedaten nach § 50 Nummer 3 und § 57 Satz 1 Nummer 1 und 2 bis zum 30. September eines jeden Kalenderjahres mit, und zwar in nicht personenbezogener Form.</w:t>
      </w:r>
    </w:p>
    <w:p>
      <w:r>
        <w:t xml:space="preserve">(8) Die nach den Absätzen 1 bis 3 veröffentlichten Angaben dürfen zu kommerziellen und nichtkommerziellen Zwecken verwendet werden.</w:t>
      </w:r>
    </w:p>
    <w:p>
      <w:r>
        <w:rPr>
          <w:color w:val="555555"/>
          <w:sz w:val="17"/>
        </w:rPr>
        <w:t xml:space="preserve">Zitiervorschlag: § 51 EnFG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https://recht.nulegal.eu/gesetze/EnFG/51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