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EnFG — Grundsatz</w:t>
      </w:r>
    </w:p>
    <w:p>
      <w:r>
        <w:rPr>
          <w:color w:val="555555"/>
          <w:sz w:val="18"/>
        </w:rPr>
        <w:t xml:space="preserve">Energiefinanzierungsgesetz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Betreiber von Stromerzeugungsanlagen, Netzbetreiber, Letztverbraucher, Netznutzer und Elektrizitätsversorgungsunternehmen müssen einander die für den Ausgleich nach Teil 4 erforderlichen Angaben, insbesondere die in den §§ 50 bis 52 genannten Angaben, unverzüglich zur Verfügung stellen, soweit in den nachfolgenden Bestimmungen keine abweichenden Fristen bestimmt sind. § 20 ist entsprechend anzuwenden.</w:t>
      </w:r>
    </w:p>
    <w:p>
      <w:r>
        <w:rPr>
          <w:color w:val="555555"/>
          <w:sz w:val="17"/>
        </w:rPr>
        <w:t xml:space="preserve">Zitiervorschlag: § 49 EnFG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https://recht.nulegal.eu/gesetze/EnFG/49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