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EnFG — Geringfügige Stromverbräuche Dritter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Stromverbräuche einer anderen Person sind den Stromverbräuchen des Letztverbrauchers zuzurechnen, wenn sie</w:t>
      </w:r>
    </w:p>
    <w:p>
      <w:pPr>
        <w:ind w:left="420"/>
      </w:pPr>
      <w:r>
        <w:t xml:space="preserve">1. geringfügig sind,</w:t>
      </w:r>
    </w:p>
    <w:p>
      <w:pPr>
        <w:ind w:left="420"/>
      </w:pPr>
      <w:r>
        <w:t xml:space="preserve">2. üblicherweise und im konkreten Fall nicht gesondert abgerechnet werden und</w:t>
      </w:r>
    </w:p>
    <w:p>
      <w:pPr>
        <w:ind w:left="420"/>
      </w:pPr>
      <w:r>
        <w:t xml:space="preserve">3. verbraucht werden</w:t>
      </w:r>
    </w:p>
    <w:p>
      <w:pPr>
        <w:ind w:left="780"/>
      </w:pPr>
      <w:r>
        <w:t xml:space="preserve">a) in den Räumlichkeiten, auf dem Grundstück oder dem Betriebsgelände des Letztverbrauchers und</w:t>
      </w:r>
    </w:p>
    <w:p>
      <w:pPr>
        <w:ind w:left="780"/>
      </w:pPr>
      <w:r>
        <w:t xml:space="preserve">b) im Fall einer gewerblichen Nutzung zur Erbringung einer Leistung der anderen Person gegenüber dem Letztverbraucher oder des Letztverbrauchers gegenüber der anderen Person.</w:t>
      </w:r>
    </w:p>
    <w:p>
      <w:r>
        <w:rPr>
          <w:color w:val="555555"/>
          <w:sz w:val="17"/>
        </w:rPr>
        <w:t xml:space="preserve">Zitiervorschlag: § 45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