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EnFG — Evaluierung, Weitergabe von Daten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Das Bundesministerium für Wirtschaft und Energie und das Bundesamt für Wirtschaft und Ausfuhrkontrolle evaluieren laufend die §§ 29 bis 43. Sie können sich hierbei von Dritten unterstützen lassen.</w:t>
      </w:r>
    </w:p>
    <w:p>
      <w:r>
        <w:t xml:space="preserve">(2) Antragsteller und Begünstigte, die eine Entscheidung nach § 29 Absatz 1 beantragen oder erhalten haben, müssen bei der Evaluierung nach Absatz 1 mitwirken. Das Bundesamt für Wirtschaft und Ausfuhrkontrolle kann zum Zweck der Evaluierung nach Absatz 1 Satz 1 von Antragstellern und Begünstigten Auskunft verlangen</w:t>
      </w:r>
    </w:p>
    <w:p>
      <w:pPr>
        <w:ind w:left="420"/>
      </w:pPr>
      <w:r>
        <w:t xml:space="preserve">1. über sämtliche von ihnen selbst verbrauchten Strommengen, auch solche, die nicht von der Begrenzungsentscheidung erfasst sind, um eine Grundlage für die Entwicklung von Effizienzanforderungen zu schaffen,</w:t>
      </w:r>
    </w:p>
    <w:p>
      <w:pPr>
        <w:ind w:left="420"/>
      </w:pPr>
      <w:r>
        <w:t xml:space="preserve">2. über mögliche und umgesetzte effizienzsteigernde Maßnahmen, insbesondere Maßnahmen, die durch den Betrieb des Energiemanagementsystems zur Verbesserung der Energieeffizienz aufgezeigt wurden, und über mögliche und umgesetzte Maßnahmen zur Dekarbonisierung des Produktionsprozesses,</w:t>
      </w:r>
    </w:p>
    <w:p>
      <w:pPr>
        <w:ind w:left="420"/>
      </w:pPr>
      <w:r>
        <w:t xml:space="preserve">3. über die an Seeschiffe gelieferten Strommengen einschließlich der Angaben über Schiffstyp und Bruttoraumzahl der belieferten Schiffe und</w:t>
      </w:r>
    </w:p>
    <w:p>
      <w:pPr>
        <w:ind w:left="420"/>
      </w:pPr>
      <w:r>
        <w:t xml:space="preserve">4. über weitere Informationen, die zur Evaluierung und Fortschreibung der §§ 29 bis 43 erforderlich sind.</w:t>
      </w:r>
    </w:p>
    <w:p>
      <w:r>
        <w:t xml:space="preserve">Das Bundesamt für Wirtschaft und Ausfuhrkontrolle kann die Art der Auskunftserteilung nach Satz 2 näher ausgestalten.</w:t>
      </w:r>
    </w:p>
    <w:p>
      <w:r>
        <w:t xml:space="preserve">(3) Das Bundesamt für Wirtschaft und Ausfuhrkontrolle ist berechtigt, die für die Antragsbearbeitung erhobenen Daten und die nach Absatz 2 Satz 2 erhobenen Daten dem Bundesministerium für Wirtschaft und Energie zu Zwecken der Rechts- und Fachaufsicht sowie zu Zwecken der Evaluierung und Fortschreibung der §§ 29 bis 43 in nicht personenbezogener Form zu übermitteln. Das Bundesministerium für Wirtschaft und Energie darf die nach Satz 1 erlangten Daten an beauftragte Dritte zu Zwecken der Evaluierung nach Absatz 1 übermitteln. Daten, die Betriebs- und Geschäftsgeheimnisse darstellen, dürfen an beauftragte Dritte ohne Geheimhaltungsvereinbarung nur übermittelt werden, wenn ein Bezug zu dem Unternehmen nicht mehr hergestellt werden kann.</w:t>
      </w:r>
    </w:p>
    <w:p>
      <w:r>
        <w:t xml:space="preserve">(4) Das Bundesamt für Wirtschaft und Ausfuhrkontrolle ist berechtigt, den Namen, die Branchenzuordnung, die Postleitzahl und den Ort des begünstigten Unternehmens und der begünstigten Abnahmestelle zu veröffentlichen.</w:t>
      </w:r>
    </w:p>
    <w:p>
      <w:r>
        <w:rPr>
          <w:color w:val="555555"/>
          <w:sz w:val="17"/>
        </w:rPr>
        <w:t xml:space="preserve">Zitiervorschlag: § 44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