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EnFG — Auskunfts- und Betretungsrecht, Datenabgleich</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Zum Zweck der Prüfung der gesetzlichen Voraussetzungen sind die Bediensteten des Bundesamtes für Wirtschaft und Ausfuhrkontrolle und dessen Beauftragte befugt, von den für die Begünstigten handelnden natürlichen Personen für die Prüfung erforderliche Auskünfte zu verlangen, innerhalb der üblichen Geschäftszeiten die geschäftlichen Unterlagen einzusehen und zu prüfen sowie Betriebs- und Geschäftsräume sowie die dazugehörigen Grundstücke der begünstigten Personen während der üblichen Geschäftszeiten zu betreten. Die für die Begünstigten handelnden natürlichen Personen müssen die verlangten Auskünfte erteilen und die Unterlagen zur Einsichtnahme vorlegen. Zur Auskunft Verpflichtete können die Auskunft auf solche Fragen verweigern, deren Beantwortung sie selbst oder in § 383 Absatz 1 Nummer 1 bis 3 der Zivilprozessordnung bezeichnete Angehörige der Gefahr strafrechtlicher Verfolgung oder eines Verfahrens nach dem Gesetz über Ordnungswidrigkeiten aussetzen würde.</w:t>
      </w:r>
    </w:p>
    <w:p>
      <w:r>
        <w:t xml:space="preserve">(2) Soweit die gesetzlichen Voraussetzungen Verfahren anderer Behörden betreffen, ist das Bundesamt für Wirtschaft und Ausfuhrkontrolle zum Abgleich antragsrelevanter Daten berechtigt; die betroffenen Behörden sind zur Mitwirkung verpflichtet.</w:t>
      </w:r>
    </w:p>
    <w:p>
      <w:r>
        <w:rPr>
          <w:color w:val="555555"/>
          <w:sz w:val="17"/>
        </w:rPr>
        <w:t xml:space="preserve">Zitiervorschlag: § 43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