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EnFG — Schienenbahnen</w:t>
      </w:r>
    </w:p>
    <w:p>
      <w:r>
        <w:rPr>
          <w:color w:val="555555"/>
          <w:sz w:val="18"/>
        </w:rPr>
        <w:t xml:space="preserve">Energiefinanzierungsgesetz</w:t>
      </w:r>
    </w:p>
    <w:p>
      <w:r>
        <w:rPr>
          <w:color w:val="555555"/>
          <w:sz w:val="18"/>
        </w:rPr>
        <w:t xml:space="preserve">Stand: 23.12.2025 (konsolidierte Textfassung, kein amtliches Inkrafttretensdatum)</w:t>
      </w:r>
    </w:p>
    <w:p>
      <w:r>
        <w:t xml:space="preserve">(1) Bei einer Schienenbahn erfolgt die Begrenzung der Umlagen nur, wenn sie nachweist, dass im letzten abgeschlossenen Geschäftsjahr die an der betreffenden Abnahmestelle selbst verbrauchte Strommenge unmittelbar für den Fahrbetrieb im Schienenbahnverkehr verbraucht wurde und mehr als 1 Gigawattstunde unter Ausschluss der rückgespeisten Energie betrug.</w:t>
      </w:r>
    </w:p>
    <w:p>
      <w:r>
        <w:t xml:space="preserve">(2) Für eine Schienenbahn begrenzt das Bundesamt für Wirtschaft und Ausfuhrkontrolle abnahmestellenbezogen die Umlagen für Strommengen, die 1 Gigawattstunde übersteigen und die unmittelbar für den Fahrbetrieb im Schienenbahnverkehr verbraucht werden, auf 10 Prozent.</w:t>
      </w:r>
    </w:p>
    <w:p>
      <w:r>
        <w:t xml:space="preserve">(3) Abweichend von Absatz 1 können Schienenbahnen, soweit sie an einem Vergabeverfahren für Schienenverkehrsleistungen im Schienenpersonennahverkehr teilgenommen haben oder teilnehmen werden, im Kalenderjahr vor der Aufnahme des Fahrbetriebs die prognostizierten Stromverbrauchsmengen für das Kalenderjahr, in dem der Fahrbetrieb aufgenommen werden wird, auf Grund der Vorgaben des Vergabeverfahrens nachweisen; die Begrenzung nach Absatz 2 erfolgt nur für die Schienenbahn, die in dem Vergabeverfahren den Zuschlag erhalten hat. Die Schienenbahn, die den Zuschlag erhalten hat, kann nachweisen:</w:t>
      </w:r>
    </w:p>
    <w:p>
      <w:pPr>
        <w:ind w:left="420"/>
      </w:pPr>
      <w:r>
        <w:t xml:space="preserve">1. im Kalenderjahr der Aufnahme des Fahrbetriebs die prognostizierten Stromverbrauchsmengen für das folgende Kalenderjahr auf Grund der Vorgaben des Vergabeverfahrens und</w:t>
      </w:r>
    </w:p>
    <w:p>
      <w:pPr>
        <w:ind w:left="420"/>
      </w:pPr>
      <w:r>
        <w:t xml:space="preserve">2. im ersten Kalenderjahr nach der Aufnahme des Fahrbetriebs die Summe der tatsächlichen Stromverbrauchsmengen für das bisherige laufende Kalenderjahr und der prognostizierten Stromverbrauchsmengen für das übrige laufende Kalenderjahr; die Prognose muss auf Grund der Vorgaben des Vergabeverfahrens und des bisherigen tatsächlichen Stromverbrauchs erfolgen.</w:t>
      </w:r>
    </w:p>
    <w:p>
      <w:r>
        <w:t xml:space="preserve">(4) Abweichend von Absatz 1 können Schienenbahnen, die erstmals eine Schienenverkehrsleistung im Schienenpersonenfernverkehr oder im Schienengüterverkehr erbringen werden, nachweisen:</w:t>
      </w:r>
    </w:p>
    <w:p>
      <w:pPr>
        <w:ind w:left="420"/>
      </w:pPr>
      <w:r>
        <w:t xml:space="preserve">1. im Kalenderjahr vor der Aufnahme des Fahrbetriebs die prognostizierten Stromverbrauchsmengen für das Kalenderjahr, in dem der Fahrbetrieb aufgenommen werden wird,</w:t>
      </w:r>
    </w:p>
    <w:p>
      <w:pPr>
        <w:ind w:left="420"/>
      </w:pPr>
      <w:r>
        <w:t xml:space="preserve">2. im Kalenderjahr der Aufnahme des Fahrbetriebs die prognostizierten Stromverbrauchsmengen für das folgende Kalenderjahr und</w:t>
      </w:r>
    </w:p>
    <w:p>
      <w:pPr>
        <w:ind w:left="420"/>
      </w:pPr>
      <w:r>
        <w:t xml:space="preserve">3. im ersten Kalenderjahr nach der Aufnahme des Fahrbetriebs die Summe der tatsächlichen Stromverbrauchsmengen für das bisherige laufende Kalenderjahr und der prognostizierten Stromverbrauchsmengen für das übrige laufende Kalenderjahr.</w:t>
      </w:r>
    </w:p>
    <w:p>
      <w:r>
        <w:t xml:space="preserve">Die Begrenzungsentscheidung ergeht unter Vorbehalt der Nachprüfung. Sie kann auf Grundlage einer Nachprüfung aufgehoben oder geändert werden. Die nachträgliche Überprüfung der Antragsvoraussetzungen und des Begrenzungsumfangs erfolgt nach Vollendung des Kalenderjahres, für das die Begrenzungsentscheidung wirkt, durch das Bundesamt für Wirtschaft und Ausfuhrkontrolle anhand der Daten des abgeschlossenen Kalenderjahres.</w:t>
      </w:r>
    </w:p>
    <w:p>
      <w:r>
        <w:t xml:space="preserve">(5) Unbeschadet der Absätze 3 und 4 ist § 33 Satz 1 entsprechend anzuwenden.</w:t>
      </w:r>
    </w:p>
    <w:p>
      <w:r>
        <w:t xml:space="preserve">(6) § 32 Nummer 1 Buchstabe a und b ist entsprechend anzuwenden.</w:t>
      </w:r>
    </w:p>
    <w:p>
      <w:r>
        <w:t xml:space="preserve">(7) Im Sinn dieses Paragrafen ist</w:t>
      </w:r>
    </w:p>
    <w:p>
      <w:pPr>
        <w:ind w:left="420"/>
      </w:pPr>
      <w:r>
        <w:t xml:space="preserve">1. „Abnahmestelle“ die Summe der Verbrauchsstellen für den Fahrbetrieb im Schienenbahnverkehr des Unternehmens und</w:t>
      </w:r>
    </w:p>
    <w:p>
      <w:pPr>
        <w:ind w:left="420"/>
      </w:pPr>
      <w:r>
        <w:t xml:space="preserve">2. „Aufnahme des Fahrbetriebs“ der erstmalige Verbrauch von Strom zu Fahrbetriebszwecken.</w:t>
      </w:r>
    </w:p>
    <w:p>
      <w:r>
        <w:rPr>
          <w:color w:val="555555"/>
          <w:sz w:val="17"/>
        </w:rPr>
        <w:t xml:space="preserve">Zitiervorschlag: § 37 EnFG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https://recht.nulegal.eu/gesetze/EnFG/37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