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EnFG — Herstellung von Wasserstoff in stromkostenintensiven Unternehmen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Bei Unternehmen, die der Branche mit dem WZ-2008-Code 2011 nach Anlage 2 zuzuordnen sind und bei denen die elektrochemische Herstellung von Wasserstoff den größten Beitrag zur gesamten Bruttowertschöpfung des Unternehmens leistet, werden die Umlagen unabhängig vom Verwendungszweck des hergestellten Wasserstoffs nach Unterabschnitt 2 mit der Maßgabe begrenzt, dass § 30 Nummer 1 und § 31 Nummer 1 nicht anzuwenden sind und die Zugehörigkeit der Abnahmestelle zu einer Branche nach Anlage 2 abweichend von § 31 nicht erforderlich ist.</w:t>
      </w:r>
    </w:p>
    <w:p>
      <w:r>
        <w:t xml:space="preserve">(2) § 33 Satz 1 ist auf Unternehmen im Sinn des Absatzes 1 mit der Maßgabe anzuwenden, dass diese abweichend von § 32 für die Begrenzung</w:t>
      </w:r>
    </w:p>
    <w:p>
      <w:pPr>
        <w:ind w:left="420"/>
      </w:pPr>
      <w:r>
        <w:t xml:space="preserve">1. im Jahr der erstmaligen Stromabnahme zu Produktionszwecken und im ersten Jahr nach der erstmaligen Stromabnahme Prognosedaten übermitteln,</w:t>
      </w:r>
    </w:p>
    <w:p>
      <w:pPr>
        <w:ind w:left="420"/>
      </w:pPr>
      <w:r>
        <w:t xml:space="preserve">2. im zweiten Jahr nach der erstmaligen Stromabnahme zu Produktionszwecken Daten auf der Grundlage eines gewillkürten Rumpfgeschäftsjahres übermitteln,</w:t>
      </w:r>
    </w:p>
    <w:p>
      <w:pPr>
        <w:ind w:left="420"/>
      </w:pPr>
      <w:r>
        <w:t xml:space="preserve">3. im dritten Jahr nach der erstmaligen Stromabnahme zu Produktionszwecken Daten für das erste abgeschlossene Geschäftsjahr übermitteln und</w:t>
      </w:r>
    </w:p>
    <w:p>
      <w:pPr>
        <w:ind w:left="420"/>
      </w:pPr>
      <w:r>
        <w:t xml:space="preserve">4. im vierten Jahr nach der erstmaligen Stromabnahme zu Produktionszwecken Daten für das erste und zweite abgeschlossene Geschäftsjahr übermitteln.</w:t>
      </w:r>
    </w:p>
    <w:p>
      <w:r>
        <w:t xml:space="preserve">Die Nachweise nach § 32 Nummer 2 und 3 Buchstabe a bis e müssen im Fall des Satzes 1 erst ab dem zweiten Jahr nach der erstmaligen Stromabnahme zu Produktionszwecken erbracht werden. Die Begrenzungsentscheidung ergeht in den Fällen der Sätze 1 und 2 unter Vorbehalt des Widerrufs</w:t>
      </w:r>
    </w:p>
    <w:p>
      <w:pPr>
        <w:ind w:left="420"/>
      </w:pPr>
      <w:r>
        <w:t xml:space="preserve">1. für das Jahr der erstmaligen Stromabnahme zu Produktionszwecken rückwirkend für den Zeitraum ab der erstmaligen Stromabnahme und</w:t>
      </w:r>
    </w:p>
    <w:p>
      <w:pPr>
        <w:ind w:left="420"/>
      </w:pPr>
      <w:r>
        <w:t xml:space="preserve">2. für das erste und zweite Jahr nach der erstmaligen Stromabnahme zu Produktionszwecken.</w:t>
      </w:r>
    </w:p>
    <w:p>
      <w:r>
        <w:t xml:space="preserve">Nach Vollendung des ersten abgeschlossenen Geschäftsjahres erfolgt eine nachträgliche Überprüfung der Antragsvoraussetzungen und des Begrenzungsumfangs durch das Bundesamt für Wirtschaft und Ausfuhrkontrolle anhand der Daten des abgeschlossenen Geschäftsjahres.</w:t>
      </w:r>
    </w:p>
    <w:p>
      <w:r>
        <w:t xml:space="preserve">(3) Die Absätze 1 und 2 sind für selbständige Teile eines Unternehmens, die der Branche mit dem WZ-2008-Code 2011 nach Anlage 2 zuzuordnen sind und bei denen die elektrochemische Herstellung von Wasserstoff den größten Beitrag zur gesamten Bruttowertschöpfung des selbständigen Teils des Unternehmens leistet, entsprechend anzuwenden, wenn diese</w:t>
      </w:r>
    </w:p>
    <w:p>
      <w:pPr>
        <w:ind w:left="420"/>
      </w:pPr>
      <w:r>
        <w:t xml:space="preserve">1. eine eigene Bilanz und eine eigene Gewinn- und Verlustrechnung in entsprechender Anwendung der für alle Kaufleute geltenden Bestimmungen des Handelsgesetzbuchs aufstellen und</w:t>
      </w:r>
    </w:p>
    <w:p>
      <w:pPr>
        <w:ind w:left="420"/>
      </w:pPr>
      <w:r>
        <w:t xml:space="preserve">2. die Bilanz und die Gewinn- und Verlustrechnung in entsprechender Anwendung der §§ 317 bis 323 des Handelsgesetzbuchs prüfen lassen.</w:t>
      </w:r>
    </w:p>
    <w:p>
      <w:r>
        <w:rPr>
          <w:color w:val="555555"/>
          <w:sz w:val="17"/>
        </w:rPr>
        <w:t xml:space="preserve">Zitiervorschlag: § 36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