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EnFG — Nachweisführung auf Basis eines gewillkürten Rumpfgeschäftsjahres</w:t>
      </w:r>
    </w:p>
    <w:p>
      <w:r>
        <w:rPr>
          <w:color w:val="555555"/>
          <w:sz w:val="18"/>
        </w:rPr>
        <w:t xml:space="preserve">Energiefinanzierungsgesetz</w:t>
      </w:r>
    </w:p>
    <w:p>
      <w:r>
        <w:rPr>
          <w:color w:val="555555"/>
          <w:sz w:val="18"/>
        </w:rPr>
        <w:t xml:space="preserve">Stand: 01.01.2023 (konsolidierte Textfassung, kein amtliches Inkrafttretensdatum)</w:t>
      </w:r>
    </w:p>
    <w:p>
      <w:r>
        <w:t xml:space="preserve">Unternehmen, die bis zum 30. April des Antragsjahres noch über kein abgeschlossenes handelsrechtliches Geschäftsjahr verfügen oder zum Zeitpunkt des Endes des letzten abgeschlossenen Geschäftsjahres keiner Branche nach Anlage 2 zuzuordnen sind, können abweichend von § 32 Nummer 1 den Antrag auf Basis eines gewillkürten Rumpfgeschäftsjahres stellen, das mit der erstmaligen Stromabnahme zu Produktionszwecken in einer Branche nach Anlage 2 beginnt und vor Ablauf der Antragsfrist endet. Die Begrenzungsentscheidung ergeht unter Vorbehalt des Widerrufs. Nach Vollendung des ersten abgeschlossenen Geschäftsjahres erfolgt eine nachträgliche Überprüfung der Antragsvoraussetzungen und des Begrenzungsumfangs durch das Bundesamt für Wirtschaft und Ausfuhrkontrolle anhand der Daten des abgeschlossenen Geschäftsjahres. § 32 ist im Übrigen entsprechend anzuwenden.</w:t>
      </w:r>
    </w:p>
    <w:p>
      <w:r>
        <w:rPr>
          <w:color w:val="555555"/>
          <w:sz w:val="17"/>
        </w:rPr>
        <w:t xml:space="preserve">Zitiervorschlag: § 33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