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EnFG — Antrag</w:t>
      </w:r>
    </w:p>
    <w:p>
      <w:r>
        <w:rPr>
          <w:color w:val="555555"/>
          <w:sz w:val="18"/>
        </w:rPr>
        <w:t xml:space="preserve">Energiefinanzierungsgesetz</w:t>
      </w:r>
    </w:p>
    <w:p>
      <w:r>
        <w:rPr>
          <w:color w:val="555555"/>
          <w:sz w:val="18"/>
        </w:rPr>
        <w:t xml:space="preserve">Stand: 23.12.2025 (konsolidierte Textfassung, kein amtliches Inkrafttretensdatum)</w:t>
      </w:r>
    </w:p>
    <w:p>
      <w:r>
        <w:t xml:space="preserve">(1) Das Bundesamt für Wirtschaft und Ausfuhrkontrolle begrenzt die Umlagen auf Antrag abnahmestellenbezogen</w:t>
      </w:r>
    </w:p>
    <w:p>
      <w:pPr>
        <w:ind w:left="420"/>
      </w:pPr>
      <w:r>
        <w:t xml:space="preserve">1. nach Maßgabe der §§ 30 bis 35 für den Strom, der von stromkostenintensiven Unternehmen selbst verbraucht wird,</w:t>
      </w:r>
    </w:p>
    <w:p>
      <w:pPr>
        <w:ind w:left="420"/>
      </w:pPr>
      <w:r>
        <w:t xml:space="preserve">2. nach Maßgabe des § 36 für den Strom, der von Unternehmen bei der elektrochemischen Herstellung von Wasserstoff selbst verbraucht wird,</w:t>
      </w:r>
    </w:p>
    <w:p>
      <w:pPr>
        <w:ind w:left="420"/>
      </w:pPr>
      <w:r>
        <w:t xml:space="preserve">3. nach Maßgabe des § 37 für den Strom, der von Schienenbahnen selbst verbraucht wird,</w:t>
      </w:r>
    </w:p>
    <w:p>
      <w:pPr>
        <w:ind w:left="420"/>
      </w:pPr>
      <w:r>
        <w:t xml:space="preserve">4. nach Maßgabe des § 38 für den Strom, der von Verkehrsunternehmen mit elektrisch betriebenen Bussen im Linienverkehr selbst verbraucht wird, und</w:t>
      </w:r>
    </w:p>
    <w:p>
      <w:pPr>
        <w:ind w:left="420"/>
      </w:pPr>
      <w:r>
        <w:t xml:space="preserve">5. nach Maßgabe des § 39 für den landseitig bezogenen Strom, der von Landstromanlagen an Seeschiffe geliefert und auf Seeschiffen verbraucht wird.</w:t>
      </w:r>
    </w:p>
    <w:p>
      <w:r>
        <w:t xml:space="preserve">(2) Die Antragsteller müssen unbeschadet ihrer Mitteilungspflicht nach § 52 dem Bundesamt für Wirtschaft und Ausfuhrkontrolle im Rahmen der Antragstellung nach Absatz 1 mitteilen:</w:t>
      </w:r>
    </w:p>
    <w:p>
      <w:pPr>
        <w:ind w:left="420"/>
      </w:pPr>
      <w:r>
        <w:t xml:space="preserve">1. die für das folgende Kalenderjahr prognostizierten Strommengen, für die die Umlagen begrenzt werden, aufgeschlüsselt nach Kalendermonaten und Abnahmestellen,</w:t>
      </w:r>
    </w:p>
    <w:p>
      <w:pPr>
        <w:ind w:left="420"/>
      </w:pPr>
      <w:r>
        <w:t xml:space="preserve">2. die für das folgende Kalenderjahr prognostizierten Strommengen, die an den in Nummer 1 genannten Abnahmestellen an Dritte weitergeleitet werden,</w:t>
      </w:r>
    </w:p>
    <w:p>
      <w:pPr>
        <w:ind w:left="420"/>
      </w:pPr>
      <w:r>
        <w:t xml:space="preserve">3. den für das folgende Kalenderjahr prognostizierten Höchstbetrag nach § 31 Nummer 3 und 4,</w:t>
      </w:r>
    </w:p>
    <w:p>
      <w:pPr>
        <w:ind w:left="420"/>
      </w:pPr>
      <w:r>
        <w:t xml:space="preserve">4. die Netzbetreiber, an deren Netz die nach Nummer 1 aufzuschlüsselnden Abnahmestellen unmittelbar oder mittelbar angeschlossen sind,</w:t>
      </w:r>
    </w:p>
    <w:p>
      <w:pPr>
        <w:ind w:left="420"/>
      </w:pPr>
      <w:r>
        <w:t xml:space="preserve">5. die Netzbetreiber, die zur Erhebung der nach Absatz 1 beantragten begrenzten Umlagen an den nach Nummer 1 aufzuschlüsselnden Abnahmestellen berechtigt sind und</w:t>
      </w:r>
    </w:p>
    <w:p>
      <w:pPr>
        <w:ind w:left="420"/>
      </w:pPr>
      <w:r>
        <w:t xml:space="preserve">6. die Netznutzer der nach Nummer 1 aufzuschlüsselnden Abnahmestellen, es sei denn, die nach Absatz 1 begrenzten Umlagen werden als eigenständige Umlagen gegenüber den Antragstellern erhoben oder die Antragsteller sind selbst Netznutzer.</w:t>
      </w:r>
    </w:p>
    <w:p>
      <w:r>
        <w:t xml:space="preserve">(3) Die Antragsteller müssen im Rahmen der Antragstellung nach Absatz 1 bestätigen, dass</w:t>
      </w:r>
    </w:p>
    <w:p>
      <w:pPr>
        <w:ind w:left="420"/>
      </w:pPr>
      <w:r>
        <w:t xml:space="preserve">1. sie kein Unternehmen in Schwierigkeiten sind und</w:t>
      </w:r>
    </w:p>
    <w:p>
      <w:pPr>
        <w:ind w:left="420"/>
      </w:pPr>
      <w:r>
        <w:t xml:space="preserve">2. keine offenen Rückforderungsansprüche gegen sie aufgrund eines Beschlusses der Europäischen Kommission zur Feststellung der Unzulässigkeit einer Beihilfe und ihrer Unvereinbarkeit mit dem europäischen Binnenmarkt bestehen.</w:t>
      </w:r>
    </w:p>
    <w:p>
      <w:r>
        <w:t xml:space="preserve">Die Bestätigung nach Satz 1 muss ferner eine Selbstverpflichtung des Antragstellers enthalten, jede Änderung des Inhalts der abgegebenen Bestätigungen bis zum Abschluss des Antragsverfahrens unverzüglich dem Bundesamt für Wirtschaft und Ausfuhrkontrolle mitzuteilen. Wenn das Bundesamt für Wirtschaft und Ausfuhrkontrolle Vorgaben zu Form und Inhalt der Angaben nach den Sätzen 1 und 2 bereitstellt, müssen diese unter Beachtung dieser Vorgaben übermittelt werden.</w:t>
      </w:r>
    </w:p>
    <w:p>
      <w:r>
        <w:rPr>
          <w:color w:val="555555"/>
          <w:sz w:val="17"/>
        </w:rPr>
        <w:t xml:space="preserve">Zitiervorschlag: § 29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