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EnFG — Nachträgliche Korrekturen</w:t>
      </w:r>
    </w:p>
    <w:p>
      <w:r>
        <w:rPr>
          <w:color w:val="555555"/>
          <w:sz w:val="18"/>
        </w:rPr>
        <w:t xml:space="preserve">Energiefinanzierungsgesetz</w:t>
      </w:r>
    </w:p>
    <w:p>
      <w:r>
        <w:rPr>
          <w:color w:val="555555"/>
          <w:sz w:val="18"/>
        </w:rPr>
        <w:t xml:space="preserve">Stand: 23.12.2025 (konsolidierte Textfassung, kein amtliches Inkrafttretensdatum)</w:t>
      </w:r>
    </w:p>
    <w:p>
      <w:r>
        <w:t xml:space="preserve">(1) Bei der jeweils nächsten Abrechnung sind Änderungen der abzurechnenden Strommenge oder der Zahlungsansprüche zu berücksichtigen, die sich aus folgenden Gründen ergeben:</w:t>
      </w:r>
    </w:p>
    <w:p>
      <w:pPr>
        <w:ind w:left="420"/>
      </w:pPr>
      <w:r>
        <w:t xml:space="preserve">1. aus Rückforderungen auf Grund von § 18 Absatz 1,</w:t>
      </w:r>
    </w:p>
    <w:p>
      <w:pPr>
        <w:ind w:left="420"/>
      </w:pPr>
      <w:r>
        <w:t xml:space="preserve">2. aus einer rechtskräftigen Gerichtsentscheidung im Hauptsacheverfahren,</w:t>
      </w:r>
    </w:p>
    <w:p>
      <w:pPr>
        <w:ind w:left="420"/>
      </w:pPr>
      <w:r>
        <w:t xml:space="preserve">3. aus dem Ergebnis eines zwischen den Verfahrensparteien durchgeführten Verfahrens bei der Clearingstelle nach § 81 Absatz 4 Satz 1 Nummer 1 oder Nummer 2 des Erneuerbare-Energien-Gesetzes oder § 32a Absatz 4 Satz 1 Nummer 1 oder Nummer 2 des Kraft-Wärme-Kopplungsgesetzes,</w:t>
      </w:r>
    </w:p>
    <w:p>
      <w:pPr>
        <w:ind w:left="420"/>
      </w:pPr>
      <w:r>
        <w:t xml:space="preserve">4. aus einer Entscheidung der Bundesnetzagentur nach § 62 dieses Gesetzes, § 85 des Erneuerbare-Energien-Gesetzes oder § 31b des Kraft-Wärme-Kopplungsgesetzes,</w:t>
      </w:r>
    </w:p>
    <w:p>
      <w:pPr>
        <w:ind w:left="420"/>
      </w:pPr>
      <w:r>
        <w:t xml:space="preserve">5. aus einem vollstreckbaren Titel, der erst nach der Abrechnung nach § 15 ergangen ist,</w:t>
      </w:r>
    </w:p>
    <w:p>
      <w:pPr>
        <w:ind w:left="420"/>
      </w:pPr>
      <w:r>
        <w:t xml:space="preserve">6. aus einer nach § 26 Absatz 2 des Erneuerbare-Energien-Gesetzes zu einem späteren Zeitpunkt fällig gewordenen Zahlung oder</w:t>
      </w:r>
    </w:p>
    <w:p>
      <w:pPr>
        <w:ind w:left="420"/>
      </w:pPr>
      <w:r>
        <w:t xml:space="preserve">7. aus der unstreitigen Korrektur fehlerhafter oder unvollständiger Angaben.Für die Differenz aus den Änderungen der zwischen den Verteilernetzbetreibern und dem jeweils vorgelagerten Übertragungsnetzbetreiber abzurechnenden Strommenge nach Satz 1 sind zwischen den Verteilernetzbetreibern und dem jeweils vorgelagerten Übertragungsnetzbetreiber bei der jeweils nächsten Abrechnung für jeden Energieträger Ausgleichszahlungen zu leisten. § 19 Absatz 3 Satz 2 ist entsprechend anzuwenden.</w:t>
      </w:r>
    </w:p>
    <w:p>
      <w:r>
        <w:t xml:space="preserve">(2) Ergeben sich durch die Verbrauchsabrechnungen der Netzbetreiber gegenüber den Netznutzern Abweichungen gegenüber den Strommengen, die einer Endabrechnung nach § 19 zugrunde liegen, sind diese Änderungen bei der jeweils nächsten Abrechnung zu berücksichtigen.</w:t>
      </w:r>
    </w:p>
    <w:p>
      <w:r>
        <w:rPr>
          <w:color w:val="555555"/>
          <w:sz w:val="17"/>
        </w:rPr>
        <w:t xml:space="preserve">Zitiervorschlag: § 20 EnFG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https://recht.nulegal.eu/gesetze/EnFG/20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