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EnFG — Begriffsbestimmungen</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Im Sinn dieses Gesetzes sind oder ist</w:t>
      </w:r>
    </w:p>
    <w:p>
      <w:pPr>
        <w:ind w:left="420"/>
      </w:pPr>
      <w:r>
        <w:t xml:space="preserve">1. „Decken des Stromverbrauchs in besonderer Weise durch erneuerbare Energien“ das Decken von mindestens 50 Prozent des Stromverbrauchs durch ungeförderten Strom aus erneuerbaren Energien, wobei mindestens</w:t>
      </w:r>
    </w:p>
    <w:p>
      <w:pPr>
        <w:ind w:left="780"/>
      </w:pPr>
      <w:r>
        <w:t xml:space="preserve">a) 5 Prozent des Stromverbrauchs aus erneuerbaren Energien gedeckt wird, der aufgrund einer unmittelbaren vertraglichen Beziehung mit dem Anlagenbetreiber geliefert wird; Anlagenbetreiber und Verbraucher können sich für die Erfüllung ihrer unmittelbaren vertraglichen Beziehung eines Direktvermarktungsunternehmers im Sinn des § 3 Nummer 17 des Erneuerbare-Energien-Gesetzes oder eines sonstigen Erfüllungsgehilfen bedienen, oder</w:t>
      </w:r>
    </w:p>
    <w:p>
      <w:pPr>
        <w:ind w:left="780"/>
      </w:pPr>
      <w:r>
        <w:t xml:space="preserve">b) 2,5 Prozent des Stromverbrauchs aus erneuerbaren Energien gedeckt wird, der auf dem in sich abgeschlossenen Betriebsgelände der Abnahmestelle oder im Umkreis von 10 Kilometern zu diesem Betriebsgelände erzeugt wird,</w:t>
      </w:r>
    </w:p>
    <w:p>
      <w:pPr>
        <w:ind w:left="420"/>
      </w:pPr>
      <w:r>
        <w:t xml:space="preserve">2. „EEG-Finanzierungsbedarf“ der nach den Vorgaben der Anlage 1 ermittelte finanzielle Bedarf für die Förderung des Ausbaus der erneuerbaren Energien nach dem Erneuerbare-Energien-Gesetz für ein Kalenderjahr, wobei dieser auch einen negativen Wert annehmen kann,</w:t>
      </w:r>
    </w:p>
    <w:p>
      <w:pPr>
        <w:ind w:left="420"/>
      </w:pPr>
      <w:r>
        <w:t xml:space="preserve">3. „Energiemanagementsystem“ eines der folgenden Systeme:</w:t>
      </w:r>
    </w:p>
    <w:p>
      <w:pPr>
        <w:ind w:left="780"/>
      </w:pPr>
      <w:r>
        <w:t xml:space="preserve">a) ein zertifiziertes Energiemanagementsystem nach DIN EN ISO 50001, Ausgabe Dezember 2018[1],</w:t>
      </w:r>
    </w:p>
    <w:p>
      <w:pPr>
        <w:ind w:left="780"/>
      </w:pPr>
      <w:r>
        <w:t xml:space="preserve">b) ein Umweltmanagementsystem nach der Verordnung (EG) Nr. 1221/2009 oder</w:t>
      </w:r>
    </w:p>
    <w:p>
      <w:pPr>
        <w:ind w:left="780"/>
      </w:pPr>
      <w:r>
        <w:t xml:space="preserve">c) bei Unternehmen, die im letzten abgeschlossenen Geschäftsjahr weniger als 5 Gigawattstunden Strom verbraucht haben, ein nicht zertifiziertes Energiemanagementsystem auf Basis der DIN EN ISO 50005:2021[2] mindestens entsprechend Umsetzungsstufe 3 oder die Mitgliedschaft in einem bei der Initiative Energieeffizienz- und Klimaschutz-Netzwerke angemeldeten Energieeffizienz- und Klimaschutznetzwerk,</w:t>
      </w:r>
    </w:p>
    <w:p>
      <w:pPr>
        <w:ind w:left="420"/>
      </w:pPr>
      <w:r>
        <w:t xml:space="preserve">4. „erneuerbare Energien“ erneuerbare Energien im Sinn des § 3 Nummer 21 des Erneuerbare-Energien-Gesetzes,</w:t>
      </w:r>
    </w:p>
    <w:p>
      <w:pPr>
        <w:ind w:left="420"/>
      </w:pPr>
      <w:r>
        <w:t xml:space="preserve">5. „KWKG-Finanzierungsbedarf“ der nach den Vorgaben der Anlage 1 ermittelte finanzielle Bedarf der Förderung der Kraft-Wärme-Kopplung nach dem Kraft-Wärme-Kopplungsgesetz für ein Kalenderjahr,</w:t>
      </w:r>
    </w:p>
    <w:p>
      <w:pPr>
        <w:ind w:left="420"/>
      </w:pPr>
      <w:r>
        <w:t xml:space="preserve">6. „KWKG-Umlage“ der als Aufschlag auf die Netzentgelte erhobene Betrag in Cent pro Kilowattstunde zur Deckung des KWKG-Finanzierungsbedarfs,</w:t>
      </w:r>
    </w:p>
    <w:p>
      <w:pPr>
        <w:ind w:left="420"/>
      </w:pPr>
      <w:r>
        <w:t xml:space="preserve">7. „Netzbetreiber“ Betreiber von Elektrizitätsversorgungsnetzen im Sinn des § 3 Nummer 8 des Energiewirtschaftsgesetzes,</w:t>
      </w:r>
    </w:p>
    <w:p>
      <w:pPr>
        <w:ind w:left="420"/>
      </w:pPr>
      <w:r>
        <w:t xml:space="preserve">8. „Netznutzer“ derjenige, der die Netznutzung für die Netzentnahme von elektrischer Energie kontrahiert hat und zur Zahlung der Netzentgelte verpflichtet ist,</w:t>
      </w:r>
    </w:p>
    <w:p>
      <w:pPr>
        <w:ind w:left="420"/>
      </w:pPr>
      <w:r>
        <w:t xml:space="preserve">9. „Netzentnahme“ die Entnahme von elektrischer Energie aus einem Elektrizitätsversorgungsnetz mit Ausnahme der Entnahme der jeweils nachgelagerten Netzebene,</w:t>
      </w:r>
    </w:p>
    <w:p>
      <w:pPr>
        <w:ind w:left="420"/>
      </w:pPr>
      <w:r>
        <w:t xml:space="preserve">10. „Offshore-Anbindungskosten“ die Kosten, die Netzbetreiber nach § 17f des Energiewirtschaftsgesetzes als Aufschlag auf die Netzentgelte gegenüber Letztverbrauchern im Sinn des § 3 Nummer 70 des Energiewirtschaftsgesetzes geltend machen können,</w:t>
      </w:r>
    </w:p>
    <w:p>
      <w:pPr>
        <w:ind w:left="420"/>
      </w:pPr>
      <w:r>
        <w:t xml:space="preserve">11. „Offshore-Netzumlage“ der als Aufschlag auf die Netzentgelte erhobene Betrag in Cent pro Kilowattstunde zur Finanzierung der Offshore-Anbindungskosten,</w:t>
      </w:r>
    </w:p>
    <w:p>
      <w:pPr>
        <w:ind w:left="420"/>
      </w:pPr>
      <w:r>
        <w:t xml:space="preserve">12. „Prüfer“ ein Wirtschaftsprüfer, eine Wirtschaftsprüfungsgesellschaft, ein genossenschaftlicher Prüfungsverband, ein vereidigter Buchprüfer oder eine Buchprüfungsgesellschaft,</w:t>
      </w:r>
    </w:p>
    <w:p>
      <w:pPr>
        <w:ind w:left="420"/>
      </w:pPr>
      <w:r>
        <w:t xml:space="preserve">13. „Register“ das Marktstammdatenregister nach § 111e des Energiewirtschaftsgesetzes,</w:t>
      </w:r>
    </w:p>
    <w:p>
      <w:pPr>
        <w:ind w:left="420"/>
      </w:pPr>
      <w:r>
        <w:t xml:space="preserve">13a. „Saldo des EEG-Kontos“ der Gesamtsaldo aus den Kontoständen der für die Aufgaben nach dem Erneuerbare-Energien-Gesetz von den Übertragungsnetzbetreibern jeweils geführten separaten Bankkonten nach § 47 Absatz 1 Satz 1 ohne die nach Anlage 1 Nummer 9.1 abgegrenzten Einnahmen und Ausgaben und ohne Berücksichtigung von Änderungen der Kontostände durch die Einzahlung oder Rückzahlung von Darlehensvaluta oder sonstiger der Zwischenfinanzierung dienender Mittel,</w:t>
      </w:r>
    </w:p>
    <w:p>
      <w:pPr>
        <w:ind w:left="420"/>
      </w:pPr>
      <w:r>
        <w:t xml:space="preserve">14. „Schienenbahn“ jedes Unternehmen, das zum Zweck des Personen- oder Güterverkehrs Fahrzeuge wie Eisenbahnen, Magnetschwebebahnen, Straßenbahnen oder nach ihrer Bau- und Betriebsweise ähnliche Bahnen auf Schienen oder die für den Betrieb dieser Fahrzeuge erforderlichen Infrastrukturanlagen betreibt,</w:t>
      </w:r>
    </w:p>
    <w:p>
      <w:pPr>
        <w:ind w:left="420"/>
      </w:pPr>
      <w:r>
        <w:t xml:space="preserve">15. „selbständiger Teil eines Unternehmens“ ein Teilbetrieb mit eigenem Standort oder ein vom übrigen Unternehmen am Standort abgegrenzter Betrieb mit den wesentlichen Funktionen eines Unternehmens, der</w:t>
      </w:r>
    </w:p>
    <w:p>
      <w:pPr>
        <w:ind w:left="780"/>
      </w:pPr>
      <w:r>
        <w:t xml:space="preserve">a) jederzeit als rechtlich selbständiges Unternehmen seine Geschäfte führen könnte und</w:t>
      </w:r>
    </w:p>
    <w:p>
      <w:pPr>
        <w:ind w:left="780"/>
      </w:pPr>
      <w:r>
        <w:t xml:space="preserve">b) seine Erlöse wesentlich mit externen Dritten erzielt und über eine eigene Abnahmestelle verfügt.</w:t>
      </w:r>
    </w:p>
    <w:p>
      <w:pPr>
        <w:ind w:left="420"/>
      </w:pPr>
      <w:r>
        <w:t xml:space="preserve">16. „Übertragungsnetzbetreiber“ Betreiber von Übertragungsnetzen im Sinn des § 3 Nummer 17 des Energiewirtschaftsgesetzes,</w:t>
      </w:r>
    </w:p>
    <w:p>
      <w:pPr>
        <w:ind w:left="420"/>
      </w:pPr>
      <w:r>
        <w:t xml:space="preserve">17. „Umlagen“ die KWKG-Umlage und die Offshore-Netzumlage,</w:t>
      </w:r>
    </w:p>
    <w:p>
      <w:pPr>
        <w:ind w:left="420"/>
      </w:pPr>
      <w:r>
        <w:t xml:space="preserve">18. „ungeförderter Strom“ Strom,</w:t>
      </w:r>
    </w:p>
    <w:p>
      <w:pPr>
        <w:ind w:left="780"/>
      </w:pPr>
      <w:r>
        <w:t xml:space="preserve">a) für den keine Zahlung in Anspruch genommen wird</w:t>
      </w:r>
    </w:p>
    <w:p>
      <w:pPr>
        <w:ind w:left="1140"/>
      </w:pPr>
      <w:r>
        <w:t xml:space="preserve">aa) nach § 19 oder § 50 des Erneuerbare-Energien-Gesetzes,</w:t>
      </w:r>
    </w:p>
    <w:p>
      <w:pPr>
        <w:ind w:left="1140"/>
      </w:pPr>
      <w:r>
        <w:t xml:space="preserve">bb) nach einer Bestimmung, die den in Doppelbuchstabe aa genannten Bestimmungen in früheren Fassungen des Erneuerbare-Energien-Gesetzes entspricht, oder</w:t>
      </w:r>
    </w:p>
    <w:p>
      <w:pPr>
        <w:ind w:left="1140"/>
      </w:pPr>
      <w:r>
        <w:t xml:space="preserve">cc) nach dem Kraft-Wärme-Kopplungsgesetz oder</w:t>
      </w:r>
    </w:p>
    <w:p>
      <w:pPr>
        <w:ind w:left="780"/>
      </w:pPr>
      <w:r>
        <w:t xml:space="preserve">b) der außerhalb des Bundesgebiets erzeugt worden ist und die Vorgaben des Artikels 19 Absatz 7 und 9 der Richtlinie (EU) 2018/2001 erfüllt,</w:t>
      </w:r>
    </w:p>
    <w:p>
      <w:pPr>
        <w:ind w:left="420"/>
      </w:pPr>
      <w:r>
        <w:t xml:space="preserve">19. „Unternehmen“ jeder Rechtsträger, der einen nach Art und Umfang in kaufmännischer Weise eingerichteten Geschäftsbetrieb unter Beteiligung am allgemeinen wirtschaftlichen Verkehr nachhaltig mit eigener Gewinnerzielungsabsicht betreibt,</w:t>
      </w:r>
    </w:p>
    <w:p>
      <w:pPr>
        <w:ind w:left="420"/>
      </w:pPr>
      <w:r>
        <w:t xml:space="preserve">20. „Unternehmen in Schwierigkeiten“ Unternehmen in Schwierigkeiten im Sinn der Mitteilung der Kommission – Leitlinien für staatliche Beihilfen zur Rettung und Umstrukturierung nichtfinanzieller Unternehmen in Schwierigkeiten (ABl. C 249 vom 31.7.2014, S. 1),</w:t>
      </w:r>
    </w:p>
    <w:p>
      <w:pPr>
        <w:ind w:left="420"/>
      </w:pPr>
      <w:r>
        <w:t xml:space="preserve">21. „Verteilernetzbetreiber“ Betreiber von Elektrizitätsverteilernetzen im Sinn des § 3 Nummer 9 des Energiewirtschaftsgesetzes,</w:t>
      </w:r>
    </w:p>
    <w:p>
      <w:pPr>
        <w:ind w:left="420"/>
      </w:pPr>
      <w:r>
        <w:t xml:space="preserve">22. „wirtschaftlich durchführbare Maßnahme“ jede Maßnahme, die bei der Wirtschaftlichkeitsbetrachtung im Rahmen des Energiemanagementsystems nach höchstens 90 Prozent der vorgesehenen Nutzungsdauer einen positiven Kapitalwert aufweist, der unter Zugrundelegung der DIN EN 17463, Ausgabe Dezember 2021[3], ermittelt worden ist.</w:t>
      </w:r>
    </w:p>
    <w:p>
      <w:r>
        <w:t xml:space="preserve">1 Amtlicher Hinweis: Zu beziehen bei der Beuth Verlag GmbH, 10772 Berlin, und in der Deutschen Nationalbibliothek archivmäßig gesichert niedergelegt.</w:t>
      </w:r>
    </w:p>
    <w:p>
      <w:r>
        <w:t xml:space="preserve">2 Amtlicher Hinweis: Zu beziehen bei der Beuth Verlag GmbH, 10772 Berlin, und in der Deutschen Nationalbibliothek archivmäßig gesichert niedergelegt.</w:t>
      </w:r>
    </w:p>
    <w:p>
      <w:r>
        <w:t xml:space="preserve">3 Amtlicher Hinweis: Zu beziehen bei der Beuth Verlag GmbH, 10772 Berlin, und in der Deutschen Nationalbibliothek archivmäßig gesichert niedergelegt.</w:t>
      </w:r>
    </w:p>
    <w:p>
      <w:r>
        <w:rPr>
          <w:color w:val="555555"/>
          <w:sz w:val="17"/>
        </w:rPr>
        <w:t xml:space="preserve">Zitiervorschlag: § 2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