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EnFG — Jahresendabrechnung</w:t>
      </w:r>
    </w:p>
    <w:p>
      <w:r>
        <w:rPr>
          <w:color w:val="555555"/>
          <w:sz w:val="18"/>
        </w:rPr>
        <w:t xml:space="preserve">Energiefinanzierungsgesetz</w:t>
      </w:r>
    </w:p>
    <w:p>
      <w:r>
        <w:rPr>
          <w:color w:val="555555"/>
          <w:sz w:val="18"/>
        </w:rPr>
        <w:t xml:space="preserve">Stand: 23.12.2025 (konsolidierte Textfassung, kein amtliches Inkrafttretensdatum)</w:t>
      </w:r>
    </w:p>
    <w:p>
      <w:r>
        <w:t xml:space="preserve">(1) Die Jahresendabrechnungen der nach diesem Teil zu leistenden Zahlungen erfolgen für das jeweils vorangegangene Kalenderjahr</w:t>
      </w:r>
    </w:p>
    <w:p>
      <w:pPr>
        <w:ind w:left="420"/>
      </w:pPr>
      <w:r>
        <w:t xml:space="preserve">1. zwischen den Übertragungsnetzbetreibern zum 31. August eines Kalenderjahres,</w:t>
      </w:r>
    </w:p>
    <w:p>
      <w:pPr>
        <w:ind w:left="420"/>
      </w:pPr>
      <w:r>
        <w:t xml:space="preserve">2. zwischen den Verteilernetzbetreibern und den Übertragungsnetzbetreibern zum 31. August eines Kalenderjahres,</w:t>
      </w:r>
    </w:p>
    <w:p>
      <w:pPr>
        <w:ind w:left="420"/>
      </w:pPr>
      <w:r>
        <w:t xml:space="preserve">3. zwischen den Übertragungsnetzbetreibern und den Unternehmen, bei denen die Erhebung der Umlagen nach § 12 Absatz 2 oder 3 durch den Übertragungsnetzbetreiber erfolgt, zum 31. August eines Kalenderjahres,</w:t>
      </w:r>
    </w:p>
    <w:p>
      <w:pPr>
        <w:ind w:left="420"/>
      </w:pPr>
      <w:r>
        <w:t xml:space="preserve">4. zwischen den Verteilernetzbetreibern und den Netznutzern nach den Bestimmungen des Netznutzungsvertrages und</w:t>
      </w:r>
    </w:p>
    <w:p>
      <w:pPr>
        <w:ind w:left="420"/>
      </w:pPr>
      <w:r>
        <w:t xml:space="preserve">5. zwischen den Übertragungsnetzbetreibern einerseits und den Schienenbahnen und Verkehrsunternehmen mit elektrisch betriebenen Bussen im Linienverkehr andererseits zum 31. August eines Kalenderjahres, sofern die Abrechnung nach § 12 Absatz 3 durch den Übertragungsnetzbetreiber erfolgt.</w:t>
      </w:r>
    </w:p>
    <w:p>
      <w:r>
        <w:t xml:space="preserve">(2) Die sich aus den Jahresendabrechnungen nach Absatz 1 Nummer 1 bis 3 und 5 ergebenden Zahlungsansprüche müssen bis zum 15. September des Kalenderjahres ausgeglichen werden.</w:t>
      </w:r>
    </w:p>
    <w:p>
      <w:r>
        <w:t xml:space="preserve">(3) Für die Differenz zwischen den nach § 56 des Erneuerbare-Energien-Gesetzes von den Verteilernetzbetreibern an den jeweils vorgelagerten Übertragungsnetzbetreiber weitergegebenen Strommengen und den in der Endabrechnung nach § 50 Nummer 2 ausgewiesenen Strommengen sind zwischen den Verteilernetzbetreibern und dem jeweils vorgelagerten Übertragungsnetzbetreiber bis zum Ablauf des 15. September des auf die Einspeisung folgenden Kalenderjahres für jeden Energieträger Ausgleichszahlungen zu leisten. Die Höhe der Ausgleichszahlungen ist für jede der in Anlage 1 Nummer 4 zum Erneuerbare-Energien-Gesetz unterschiedenen Energieträgergruppen separat als Produkt aus der für den jeweiligen Energieträger oder die Energieträgergruppe ermittelten Differenz nach Satz 1 und aus dem für diesen Energieträger oder diese Energieträgergruppe ermittelten, energieträgerspezifischen Jahresmarktwert des jeweiligen Leistungsjahres nach Maßgabe der Anlage 1 Nummer 4 zum Erneuerbare-Energie-Gesetz zu ermitteln.</w:t>
      </w:r>
    </w:p>
    <w:p>
      <w:r>
        <w:rPr>
          <w:color w:val="555555"/>
          <w:sz w:val="17"/>
        </w:rPr>
        <w:t xml:space="preserve">Zitiervorschlag: § 19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