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EnFG — Ausgleich zwischen Übertragungsnetzbetreibern und Verteilernetzbetreibern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Übertragungsnetzbetreiber haben einen finanziellen Anspruch auf Belastungsausgleich gegen die ihnen unmittelbar oder mittelbar nachgelagerten Netzbetreiber in Höhe von deren Einnahmen aus:</w:t>
      </w:r>
    </w:p>
    <w:p>
      <w:pPr>
        <w:ind w:left="420"/>
      </w:pPr>
      <w:r>
        <w:t xml:space="preserve">1. der Summe der nach diesem Teil zu vereinnahmenden Umlagen auf Basis der tatsächlichen Netzentnahmen einschließlich etwaiger Verzugszinsen,</w:t>
      </w:r>
    </w:p>
    <w:p>
      <w:pPr>
        <w:ind w:left="420"/>
      </w:pPr>
      <w:r>
        <w:t xml:space="preserve">2. etwaigen Erlösen oder vermiedenen Aufwendungen aus der Verwertung des kaufmännisch abgenommenen KWK-Stroms nach § 4 Absatz 2 Satz 4 des Kraft-Wärme-Kopplungsgesetzes,</w:t>
      </w:r>
    </w:p>
    <w:p>
      <w:pPr>
        <w:ind w:left="420"/>
      </w:pPr>
      <w:r>
        <w:t xml:space="preserve">3. Zahlungen nach § 52 und § 55b des Erneuerbare-Energien-Gesetzes und</w:t>
      </w:r>
    </w:p>
    <w:p>
      <w:pPr>
        <w:ind w:left="420"/>
      </w:pPr>
      <w:r>
        <w:t xml:space="preserve">4. den sonstigen Einnahmen im Zusammenhang mit den Aufgaben nach dem Erneuerbare-Energien-Gesetz und dem Kraft-Wärme-Kopplungsgesetz sowie der auf Grund dieser Gesetze erlassenen Rechtsverordnungen.</w:t>
      </w:r>
    </w:p>
    <w:p>
      <w:r>
        <w:t xml:space="preserve">Als vereinnahmte Umlagen und sonstige Einnahmen im Sinn des Satzes 1 gelten auch Forderungen auf Zahlung von Umlagen, die durch Aufrechnung erloschen sind.</w:t>
      </w:r>
    </w:p>
    <w:p>
      <w:r>
        <w:rPr>
          <w:color w:val="555555"/>
          <w:sz w:val="17"/>
        </w:rPr>
        <w:t xml:space="preserve">Zitiervorschlag: § 14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