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EnFG — Ausgleich von Finanzierungsbedarfen zwischen Verteilernetzbetreibern und Übertragungsnetzbetreibern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Übertragungsnetzbetreiber müssen ihren nachgelagerten Verteilernetzbetreibern erstatten:</w:t>
      </w:r>
    </w:p>
    <w:p>
      <w:pPr>
        <w:ind w:left="420"/>
      </w:pPr>
      <w:r>
        <w:t xml:space="preserve">1. die nach § 6 Absatz 5, § 19, § 38d oder § 50 des Erneuerbare-Energien-Gesetzes geleisteten Zahlungen abzüglich der Rückzahlungen nach § 26 Absatz 1 Satz 3, § 36h Absatz 2 und § 46 Absatz 1 des Erneuerbare-Energien-Gesetzes,</w:t>
      </w:r>
    </w:p>
    <w:p>
      <w:pPr>
        <w:ind w:left="420"/>
      </w:pPr>
      <w:r>
        <w:t xml:space="preserve">2. die nach Maßgabe des Abschnitts 2 des Kraft-Wärme-Kopplungsgesetzes geleisteten Zahlungen und</w:t>
      </w:r>
    </w:p>
    <w:p>
      <w:pPr>
        <w:ind w:left="420"/>
      </w:pPr>
      <w:r>
        <w:t xml:space="preserve">3. die geleisteten Zahlungen abzüglich der Rückzahlungen nach den Bestimmungen früherer Fassungen des Erneuerbare-Energien-Gesetzes oder des Kraft-Wärme-Kopplungsgesetzes, die den in den Nummern 1 und 2 genannten Bestimmungen entsprechen.</w:t>
      </w:r>
    </w:p>
    <w:p>
      <w:r>
        <w:t xml:space="preserve">Als geleistete Zahlungen im Sinn des Satzes 1 gelten auch Forderungen eines Anlagenbetreibers auf Zahlung, die durch Aufrechnung erloschen sind.</w:t>
      </w:r>
    </w:p>
    <w:p>
      <w:r>
        <w:t xml:space="preserve">(2) Verteilernetzbetreiber müssen vermiedene Netzentgelte nach § 18 der Stromnetzentgeltverordnung, soweit sie nach § 18 Absatz 1 Satz 1 Nummer 1 der Stromnetzentgeltverordnung nicht an Anlagenbetreiber gewährt werden und nach § 120 des Energiewirtschaftsgesetzes in Verbindung mit § 18 Absatz 2 und 3 der Stromnetzentgeltverordnung ermittelt worden sind, an die vorgelagerten Übertragungsnetzbetreiber auszahlen. § 11 Absatz 3 Nummer 2 des Erneuerbare-Energien-Gesetzes ist entsprechend anzuwenden.</w:t>
      </w:r>
    </w:p>
    <w:p>
      <w:r>
        <w:t xml:space="preserve">(3) Die Zahlungen nach Absatz 1 Satz 1 Nummer 1 und 3, soweit sie das Erneuerbare-Energien-Gesetz betreffen, sind mit den Zahlungen nach Absatz 2 zu saldieren.</w:t>
      </w:r>
    </w:p>
    <w:p>
      <w:r>
        <w:t xml:space="preserve">(4) Ist die Notwendigkeit oder die Höhe einzelner Positionen nach Absatz 1 oder Absatz 2 streitig, trifft die Beweislast die Verteilernetzbetreiber.</w:t>
      </w:r>
    </w:p>
    <w:p>
      <w:r>
        <w:rPr>
          <w:color w:val="555555"/>
          <w:sz w:val="17"/>
        </w:rPr>
        <w:t xml:space="preserve">Zitiervorschlag: § 13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