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EnFG — Erhebung von Umlagen</w:t>
      </w:r>
    </w:p>
    <w:p>
      <w:r>
        <w:rPr>
          <w:color w:val="555555"/>
          <w:sz w:val="18"/>
        </w:rPr>
        <w:t xml:space="preserve">Energiefinanzierungsgesetz</w:t>
      </w:r>
    </w:p>
    <w:p>
      <w:r>
        <w:rPr>
          <w:color w:val="555555"/>
          <w:sz w:val="18"/>
        </w:rPr>
        <w:t xml:space="preserve">Stand: 23.12.2025 (konsolidierte Textfassung, kein amtliches Inkrafttretensdatum)</w:t>
      </w:r>
    </w:p>
    <w:p>
      <w:r>
        <w:t xml:space="preserve">(1) Die Netzbetreiber sind berechtigt, die nach § 11 veröffentlichten Umlagen bei der Berechnung der Netzentgelte als jeweils eigenständigen Aufschlag auf die Netzentnahme in Ansatz zu bringen.</w:t>
      </w:r>
    </w:p>
    <w:p>
      <w:r>
        <w:t xml:space="preserve">(2) Abweichend von Absatz 1 sind zur Erhebung der nach den §§ 30 bis 36 begrenzten Umlagen auf die Netzentnahme ausschließlich die Übertragungsnetzbetreiber berechtigt, die die Umlagen als eigenständige Umlagen auf die Netzentnahme erheben. Die Übertragungsnetzbetreiber sind ferner zur Erhebung der Umlagen als eigenständige Umlagen auf die Netzentnahme berechtigt</w:t>
      </w:r>
    </w:p>
    <w:p>
      <w:pPr>
        <w:ind w:left="420"/>
      </w:pPr>
      <w:r>
        <w:t xml:space="preserve">1. für die Strommengen, die von einer den §§ 30 bis 36 begrenzten Abnahmestelle an eine nicht nach den §§ 30 bis 36 begrenzte Abnahmestelle weitergeleitet werden, oder</w:t>
      </w:r>
    </w:p>
    <w:p>
      <w:pPr>
        <w:ind w:left="420"/>
      </w:pPr>
      <w:r>
        <w:t xml:space="preserve">2. für die Strommengen an Abnahmestellen, für die für das betreffende Kalenderjahr ein Antrag auf Begrenzung nach den §§ 30 bis 36 gestellt worden ist.</w:t>
      </w:r>
    </w:p>
    <w:p>
      <w:r>
        <w:t xml:space="preserve">Die Erhebung der Umlagen erfolgt in den Fällen der Sätze 1 und 2 Nummer 1 gegenüber dem nach den §§ 30 bis 36 begünstigten Unternehmen und im Fall von Satz 2 Nummer 2 gegenüber dem antragstellenden Unternehmen.</w:t>
      </w:r>
    </w:p>
    <w:p>
      <w:r>
        <w:t xml:space="preserve">(3) Schienenbahnen und Verkehrsunternehmen mit elektrisch betriebenen Bussen im Linienverkehr, deren nach § 37 oder § 38 begrenzte Verbrauchsstellen sich in den Netzen mehrerer Netzbetreiber befinden, können durch Erklärung gegenüber den Übertragungsnetzbetreibern bestimmen, dass die Erhebung der Umlagen an den betroffenen Abnahmestellen durch die Übertragungsnetzbetreiber nach Absatz 2 erfolgt. Die Erklärung muss spätestens bis zum 30. Juni eines Jahres erfolgen. Die Erhebung der Umlagen durch die Übertragungsnetzbetreiber erfolgt ab dem auf die Erklärung folgenden Kalenderjahr. Den betroffenen Verteilernetzbetreibern muss eine Abschrift der Erklärung unverzüglich von der Schienenbahn oder dem Verkehrsunternehmen übermittelt werden.</w:t>
      </w:r>
    </w:p>
    <w:p>
      <w:r>
        <w:rPr>
          <w:color w:val="555555"/>
          <w:sz w:val="17"/>
        </w:rPr>
        <w:t xml:space="preserve">Zitiervorschlag: § 12 EnFG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https://recht.nulegal.eu/gesetze/EnFG/12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