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EnFG — Ermittlung von Umlagen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Die Netzbetreiber sind berechtigt, den KWKG-Finanzierungsbedarf und die Offshore-Anbindungskosten durch die Erhebung von Umlagen auszugleichen.</w:t>
      </w:r>
    </w:p>
    <w:p>
      <w:r>
        <w:t xml:space="preserve">(2) Die Umlagen werden von den Übertragungsnetzbetreibern für das jeweils folgende Kalenderjahr transparent und getrennt aus den jeweiligen Finanzierungsbedarfen und den umlagefähigen Netzentnahmemengen, gewichtet nach der jeweils in Anwendung der Abschnitte 1 bis 4 dieses Teils anzuwendenden Höhe der Umlage, in Cent pro Kilowattstunde ermittelt. Umlagen können keinen negativen Wert annehmen.</w:t>
      </w:r>
    </w:p>
    <w:p>
      <w:r>
        <w:rPr>
          <w:color w:val="555555"/>
          <w:sz w:val="17"/>
        </w:rPr>
        <w:t xml:space="preserve">Zitiervorschlag: § 10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