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3 EnEfG — (zu § 13 Absatz 1) Informationen von Betreibern von Rechenzentren</w:t>
      </w:r>
    </w:p>
    <w:p>
      <w:r>
        <w:rPr>
          <w:color w:val="555555"/>
          <w:sz w:val="18"/>
        </w:rPr>
        <w:t xml:space="preserve">Energieeffizienzgesetz</w:t>
      </w:r>
    </w:p>
    <w:p>
      <w:r>
        <w:rPr>
          <w:color w:val="555555"/>
          <w:sz w:val="18"/>
        </w:rPr>
        <w:t xml:space="preserve">Stand: 18.11.2023 (konsolidierte Textfassung, kein amtliches Inkrafttretensdatum)</w:t>
      </w:r>
    </w:p>
    <w:p>
      <w:r>
        <w:t xml:space="preserve">(Fundstelle: BGBl. 2023 I Nr. 309, S. 16)</w:t>
      </w:r>
    </w:p>
    <w:p>
      <w:pPr>
        <w:ind w:left="420"/>
      </w:pPr>
      <w:r>
        <w:t xml:space="preserve">1. Allgemeine Angaben zum Rechenzentrum:</w:t>
      </w:r>
    </w:p>
    <w:p>
      <w:pPr>
        <w:ind w:left="780"/>
      </w:pPr>
      <w:r>
        <w:t xml:space="preserve">a) Bezeichnung des Rechenzentrums,</w:t>
      </w:r>
    </w:p>
    <w:p>
      <w:pPr>
        <w:ind w:left="780"/>
      </w:pPr>
      <w:r>
        <w:t xml:space="preserve">b) Name des Eigentümers und Betreibers des Rechenzentrums,</w:t>
      </w:r>
    </w:p>
    <w:p>
      <w:pPr>
        <w:ind w:left="780"/>
      </w:pPr>
      <w:r>
        <w:t xml:space="preserve">c) Größenklasse nach Informationstechnik-Anschlussleistung (&lt; 500 kW, &lt; 1 MW, &lt; 5 MW, &lt; 10 MW, &lt; 50 MW, &lt; 100 MW, &gt; = 100 MW),</w:t>
      </w:r>
    </w:p>
    <w:p>
      <w:pPr>
        <w:ind w:left="780"/>
      </w:pPr>
      <w:r>
        <w:t xml:space="preserve">d) Postleitzahl, in der sich das Rechenzentrum befindet,</w:t>
      </w:r>
    </w:p>
    <w:p>
      <w:pPr>
        <w:ind w:left="780"/>
      </w:pPr>
      <w:r>
        <w:t xml:space="preserve">e) Gesamtgröße der Gebäudefläche,</w:t>
      </w:r>
    </w:p>
    <w:p>
      <w:pPr>
        <w:ind w:left="780"/>
      </w:pPr>
      <w:r>
        <w:t xml:space="preserve">f) Nennanschlussleistung der Informationstechnik und die nicht redundante Nennanschlussleistung des Rechenzentrums.</w:t>
      </w:r>
    </w:p>
    <w:p>
      <w:pPr>
        <w:ind w:left="420"/>
      </w:pPr>
      <w:r>
        <w:t xml:space="preserve">2. Allgemeine Daten zum Betrieb des Rechenzentrums im letzten vollen Kalenderjahr:</w:t>
      </w:r>
    </w:p>
    <w:p>
      <w:pPr>
        <w:ind w:left="780"/>
      </w:pPr>
      <w:r>
        <w:t xml:space="preserve">a) Gesamtstromverbrauch inklusive Eigenerzeugung, Gesamtstrombezug und Stromrückspeisung in das Versorgungsnetz,</w:t>
      </w:r>
    </w:p>
    <w:p>
      <w:pPr>
        <w:ind w:left="780"/>
      </w:pPr>
      <w:r>
        <w:t xml:space="preserve">b) Anteil der erneuerbaren Energien am Gesamtstromverbrauch nach DIN EN 50600-4-3, Ausgabe November 2020[8],</w:t>
      </w:r>
    </w:p>
    <w:p>
      <w:pPr>
        <w:ind w:left="780"/>
      </w:pPr>
      <w:r>
        <w:t xml:space="preserve">c) Menge und durchschnittliche Temperatur der mess- oder schätzbaren Abwärme, die an Luft, Gewässer oder den Boden abgegeben wurde,</w:t>
      </w:r>
    </w:p>
    <w:p>
      <w:pPr>
        <w:ind w:left="780"/>
      </w:pPr>
      <w:r>
        <w:t xml:space="preserve">d) Menge der Abwärme, die durch das Rechenzentrum an Wärmeabnehmer geliefert wurde, in Kilowattstunden pro Jahr und ihre durchschnittliche Temperatur in Grad Celsius,</w:t>
      </w:r>
    </w:p>
    <w:p>
      <w:pPr>
        <w:ind w:left="780"/>
      </w:pPr>
      <w:r>
        <w:t xml:space="preserve">e) Menge der im Rechenzentrum gespeicherten und verarbeiteten Daten,</w:t>
      </w:r>
    </w:p>
    <w:p>
      <w:pPr>
        <w:ind w:left="780"/>
      </w:pPr>
      <w:r>
        <w:t xml:space="preserve">f) Energieverbrauchseffektivität nach DIN EN 50600-4-2, Ausgabe August 2019[9], des gesamten Rechenzentrums,</w:t>
      </w:r>
    </w:p>
    <w:p>
      <w:pPr>
        <w:ind w:left="780"/>
      </w:pPr>
      <w:r>
        <w:t xml:space="preserve">g) Anteil der wiederverwendeten Energie nach DIN EN 50600-4-6, Ausgabe November 2020[10],</w:t>
      </w:r>
    </w:p>
    <w:p>
      <w:pPr>
        <w:ind w:left="780"/>
      </w:pPr>
      <w:r>
        <w:t xml:space="preserve">h) Effizienz des Kühlsystems nach DIN EN 50600-4-7, Ausgabe August 2020[11],</w:t>
      </w:r>
    </w:p>
    <w:p>
      <w:pPr>
        <w:ind w:left="780"/>
      </w:pPr>
      <w:r>
        <w:t xml:space="preserve">i) Effizienzkennzahl der Wassernutzung nach DIN EN 50600-9, Ausgabe Mai 2020[12].</w:t>
      </w:r>
    </w:p>
    <w:p>
      <w:r>
        <w:t xml:space="preserve">8 Die Norm ist bei der Beuth Verlag GmbH, Berlin, erschienen und bei der Deutschen Nationalbibliothek archivmäßig gesichert niedergelegt.</w:t>
      </w:r>
    </w:p>
    <w:p>
      <w:r>
        <w:t xml:space="preserve">9 Die Norm ist bei der Beuth Verlag GmbH, Berlin, erschienen und bei der Deutschen Nationalbibliothek archivmäßig gesichert niedergelegt.</w:t>
      </w:r>
    </w:p>
    <w:p>
      <w:r>
        <w:t xml:space="preserve">10 Die Norm ist bei der Beuth Verlag GmbH, Berlin, erschienen und bei der Deutschen Nationalbibliothek archivmäßig gesichert niedergelegt.</w:t>
      </w:r>
    </w:p>
    <w:p>
      <w:r>
        <w:t xml:space="preserve">11 Die Norm ist bei der Beuth Verlag GmbH, Berlin, erschienen und bei der Deutschen Nationalbibliothek archivmäßig gesichert niedergelegt.</w:t>
      </w:r>
    </w:p>
    <w:p>
      <w:r>
        <w:t xml:space="preserve">12 Die Norm ist bei der Beuth Verlag GmbH, Berlin, erschienen und bei der Deutschen Nationalbibliothek archivmäßig gesichert niedergelegt.</w:t>
      </w:r>
    </w:p>
    <w:p>
      <w:r>
        <w:rPr>
          <w:color w:val="555555"/>
          <w:sz w:val="17"/>
        </w:rPr>
        <w:t xml:space="preserve">Zitiervorschlag: Anlage 3 EnEfG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https://recht.nulegal.eu/gesetze/EnEfG/anlage-3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