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EnEfG — Einrichtung von Energie- oder Umweltmanagementsystemen</w:t>
      </w:r>
    </w:p>
    <w:p>
      <w:r>
        <w:rPr>
          <w:color w:val="555555"/>
          <w:sz w:val="18"/>
        </w:rPr>
        <w:t xml:space="preserve">Energieeffizienzgesetz</w:t>
      </w:r>
    </w:p>
    <w:p>
      <w:r>
        <w:rPr>
          <w:color w:val="555555"/>
          <w:sz w:val="18"/>
        </w:rPr>
        <w:t xml:space="preserve">Stand: 19.12.2023 (konsolidierte Textfassung, kein amtliches Inkrafttretensdatum)</w:t>
      </w:r>
    </w:p>
    <w:p>
      <w:r>
        <w:t xml:space="preserve">(1) Unternehmen mit einem jährlichen durchschnittlichen Gesamtendenergieverbrauch innerhalb der letzten drei abgeschlossenen Kalenderjahre von mehr als 7,5 Gigawattstunden sind verpflichtet, ein Energie- oder Umweltmanagementsystem gemäß Absatz 2 Satz 1 oder Satz 2 einzurichten.</w:t>
      </w:r>
    </w:p>
    <w:p>
      <w:r>
        <w:t xml:space="preserve">(2) Unternehmen, die bis zum Ablauf des 17. November 2023 den Status eines Unternehmens nach Absatz 1 erlangt haben, müssen ein Energie- oder Umweltmanagementsystem bis zum Ablauf des 18. Juli 2025 eingerichtet haben. Unternehmen, die ab dem 18. November 2023 den Status eines Unternehmens nach Absatz 1 erlangen, müssen ein Energie- oder Umweltmanagementsystem spätestens 20 Monate nach dem Zeitpunkt, zu dem sie diesen Status erlangt haben, eingerichtet haben. Unternehmen im Sinne von Satz 1 und 2 sind bis zum Nachweis der Einrichtung eines Energie- oder Umweltmanagementsystems von der Verpflichtung zur Durchführung von Energieaudits nach § 8 Absatz 1 des Gesetzes über Energiedienstleistungen und andere Effizienzmaßnahmen befreit, längstens jedoch bis zum Ablauf der in Satz 1 oder 2 genannten Fristen.</w:t>
      </w:r>
    </w:p>
    <w:p>
      <w:r>
        <w:t xml:space="preserve">(3) Ein Unternehmen, das nach Absatz 1 ein Energie- oder Umweltmanagementsystem einzurichten hat, hat mindestens folgende zusätzliche Anforderungen als Teil des Energie- oder Umweltmanagementsystems zu erfüllen:</w:t>
      </w:r>
    </w:p>
    <w:p>
      <w:pPr>
        <w:ind w:left="420"/>
      </w:pPr>
      <w:r>
        <w:t xml:space="preserve">1. Erfassung von Zufuhr und Abgabe von Energie, Prozesstemperaturen, abwärmeführenden Medien mit ihren Temperaturen und Wärmemengen und möglichen Inhaltsstoffen sowie von technisch vermeidbarer und technisch nicht vermeidbarer Abwärme bei der Erfassung der Abwärmequellen und die Bewertung der Möglichkeit zur Umsetzung von Maßnahmen zur Abwärmerückgewinnung und -nutzung,</w:t>
      </w:r>
    </w:p>
    <w:p>
      <w:pPr>
        <w:ind w:left="420"/>
      </w:pPr>
      <w:r>
        <w:t xml:space="preserve">2. Identifizierung und Darstellung von technisch realisierbaren Endenergieeinsparmaßnahmen sowie Maßnahmen zur Abwärmerückgewinnung und -nutzung,</w:t>
      </w:r>
    </w:p>
    <w:p>
      <w:pPr>
        <w:ind w:left="420"/>
      </w:pPr>
      <w:r>
        <w:t xml:space="preserve">3. Wirtschaftlichkeitsbewertung der identifizierten Maßnahmen nach DIN EN 17463, Ausgabe Dezember 2021[5].</w:t>
      </w:r>
    </w:p>
    <w:p>
      <w:r>
        <w:t xml:space="preserve">5 Die Norm ist bei der Beuth Verlag GmbH, Berlin, erschienen und bei der Deutschen Nationalbibliothek archivmäßig gesichert niedergelegt.</w:t>
      </w:r>
    </w:p>
    <w:p>
      <w:r>
        <w:rPr>
          <w:color w:val="555555"/>
          <w:sz w:val="17"/>
        </w:rPr>
        <w:t xml:space="preserve">Zitiervorschlag: § 8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