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EnEfG — Anwendungsbereich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Dieses Gesetz regelt</w:t>
      </w:r>
    </w:p>
    <w:p>
      <w:pPr>
        <w:ind w:left="420"/>
      </w:pPr>
      <w:r>
        <w:t xml:space="preserve">1. Ziele in Bezug auf den gesamtdeutschen End- und Primärenergieverbrauch, ohne damit eine Begrenzung des individuellen Verbrauchs von Unternehmen oder privaten Haushalten einzuführen,</w:t>
      </w:r>
    </w:p>
    <w:p>
      <w:pPr>
        <w:ind w:left="420"/>
      </w:pPr>
      <w:r>
        <w:t xml:space="preserve">2. jährliche Endenergieeinsparverpflichtungen für den Bund und die Länder durch strategische Maßnahmen sowie eine Energieeinsparverpflichtung durch Einzelmaßnahmen für öffentliche Stellen und die Pflicht zur Einführung von Energie- oder Umweltmanagementsystemen für öffentliche Stellen,</w:t>
      </w:r>
    </w:p>
    <w:p>
      <w:pPr>
        <w:ind w:left="420"/>
      </w:pPr>
      <w:r>
        <w:t xml:space="preserve">3. die Einrichtung von Energie- oder Umweltmanagementsystemen für Unternehmen,</w:t>
      </w:r>
    </w:p>
    <w:p>
      <w:pPr>
        <w:ind w:left="420"/>
      </w:pPr>
      <w:r>
        <w:t xml:space="preserve">4. die Erstellung und Veröffentlichung von Umsetzungsplänen von Endenergieeinsparmaßnahmen in Unternehmen,</w:t>
      </w:r>
    </w:p>
    <w:p>
      <w:pPr>
        <w:ind w:left="420"/>
      </w:pPr>
      <w:r>
        <w:t xml:space="preserve">5. Energieeffizienz- und Abwärmeanforderungen sowie Informationspflichten für Betreiber von Rechenzentren und Betreiber von Informationstechnik und</w:t>
      </w:r>
    </w:p>
    <w:p>
      <w:pPr>
        <w:ind w:left="420"/>
      </w:pPr>
      <w:r>
        <w:t xml:space="preserve">6. die Vermeidung, Verwendung sowie Auskunft über Abwärme für Unternehmen.</w:t>
      </w:r>
    </w:p>
    <w:p>
      <w:r>
        <w:rPr>
          <w:color w:val="555555"/>
          <w:sz w:val="17"/>
        </w:rPr>
        <w:t xml:space="preserve">Zitiervorschlag: § 2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