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EnEfG — Bußgeldvorschriften</w:t>
      </w:r>
    </w:p>
    <w:p>
      <w:r>
        <w:rPr>
          <w:color w:val="555555"/>
          <w:sz w:val="18"/>
        </w:rPr>
        <w:t xml:space="preserve">Energieeffizienzgesetz</w:t>
      </w:r>
    </w:p>
    <w:p>
      <w:r>
        <w:rPr>
          <w:color w:val="555555"/>
          <w:sz w:val="18"/>
        </w:rPr>
        <w:t xml:space="preserve">Stand: 18.11.2023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8 Absatz 1 oder § 12 Absatz 1, auch in Verbindung mit § 12 Absatz 5, ein Energie- oder Umweltmanagementsystem nicht, nicht richtig, nicht vollständig oder nicht rechtzeitig einrichtet,</w:t>
      </w:r>
    </w:p>
    <w:p>
      <w:pPr>
        <w:ind w:left="420"/>
      </w:pPr>
      <w:r>
        <w:t xml:space="preserve">2. entgegen § 9 Absatz 1 Satz 1 einen Umsetzungsplan nicht, nicht richtig, nicht vollständig oder nicht rechtzeitig erstellt oder nicht, nicht richtig, nicht vollständig oder nicht rechtzeitig veröffentlicht,</w:t>
      </w:r>
    </w:p>
    <w:p>
      <w:pPr>
        <w:ind w:left="420"/>
      </w:pPr>
      <w:r>
        <w:t xml:space="preserve">3. entgegen § 9 Absatz 2 Satz 1 einen Umsetzungsplan nicht, nicht richtig, nicht vollständig oder nicht rechtzeitig bestätigen lässt,</w:t>
      </w:r>
    </w:p>
    <w:p>
      <w:pPr>
        <w:ind w:left="420"/>
      </w:pPr>
      <w:r>
        <w:t xml:space="preserve">4. einer vollziehbaren Anordnung nach § 10 Satz 2 zuwiderhandelt,</w:t>
      </w:r>
    </w:p>
    <w:p>
      <w:pPr>
        <w:ind w:left="420"/>
      </w:pPr>
      <w:r>
        <w:t xml:space="preserve">5. entgegen § 11 Absatz 1 oder 2 Satz 1 ein Rechenzentrum nicht richtig errichtet oder nicht richtig betreibt,</w:t>
      </w:r>
    </w:p>
    <w:p>
      <w:pPr>
        <w:ind w:left="420"/>
      </w:pPr>
      <w:r>
        <w:t xml:space="preserve">6. entgegen § 13 Absatz 1 Satz 1 eine Information nicht, nicht richtig, nicht vollständig oder nicht rechtzeitig übermittelt,</w:t>
      </w:r>
    </w:p>
    <w:p>
      <w:pPr>
        <w:ind w:left="420"/>
      </w:pPr>
      <w:r>
        <w:t xml:space="preserve">7. entgegen § 16 Absatz 1 Satz 1 Abwärme nicht vermeidet oder nicht reduziert,</w:t>
      </w:r>
    </w:p>
    <w:p>
      <w:pPr>
        <w:ind w:left="420"/>
      </w:pPr>
      <w:r>
        <w:t xml:space="preserve">8. entgegen § 17 Absatz 1 eine Auskunft nicht, nicht richtig, nicht vollständig oder nicht rechtzeitig gibt oder</w:t>
      </w:r>
    </w:p>
    <w:p>
      <w:pPr>
        <w:ind w:left="420"/>
      </w:pPr>
      <w:r>
        <w:t xml:space="preserve">9. entgegen § 17 Absatz 2 Satz 1 eine Information nicht, nicht richtig, nicht vollständig oder nicht rechtzeitig übermittelt oder nicht, nicht richtig, nicht vollständig oder nicht rechtzeitig aktualisiert.</w:t>
      </w:r>
    </w:p>
    <w:p>
      <w:r>
        <w:t xml:space="preserve">(2) Die Ordnungswidrigkeit kann in den Fällen des Absatzes 1 Nummer 1, 5 und 7 mit einer Geldbuße bis zu hunderttausend Euro und in den übrigen Fällen mit einer Geldbuße bis zu fünfzigtausend Euro geahndet werden.</w:t>
      </w:r>
    </w:p>
    <w:p>
      <w:r>
        <w:t xml:space="preserve">(3) Verwaltungsbehörde im Sinne des § 36 Absatz 1 Nummer 1 des Gesetzes über Ordnungswidrigkeiten ist das Bundesamt für Wirtschaft und Ausfuhrkontrolle, ausgenommen hiervon ist Absatz 1 Nummer 7.</w:t>
      </w:r>
    </w:p>
    <w:p>
      <w:r>
        <w:rPr>
          <w:color w:val="555555"/>
          <w:sz w:val="17"/>
        </w:rPr>
        <w:t xml:space="preserve">Zitiervorschlag: § 19 EnEfG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https://recht.nulegal.eu/gesetze/EnEfG/19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