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EnEfG — Energieeffizienzregister für Rechenzentren</w:t>
      </w:r>
    </w:p>
    <w:p>
      <w:r>
        <w:rPr>
          <w:color w:val="555555"/>
          <w:sz w:val="18"/>
        </w:rPr>
        <w:t xml:space="preserve">Energieeffizienzgesetz</w:t>
      </w:r>
    </w:p>
    <w:p>
      <w:r>
        <w:rPr>
          <w:color w:val="555555"/>
          <w:sz w:val="18"/>
        </w:rPr>
        <w:t xml:space="preserve">Stand: 18.11.2023 (konsolidierte Textfassung, kein amtliches Inkrafttretensdatum)</w:t>
      </w:r>
    </w:p>
    <w:p>
      <w:r>
        <w:t xml:space="preserve">Die Bundesregierung errichtet ein Energieeffizienzregister für Rechenzentren, in dem die von den Rechenzentren nach § 13 Absatz 1 in Verbindung mit Anlage 3 übermittelten Informationen gespeichert und in eine europäische Datenbank über Rechenzentren übertragen werden.</w:t>
      </w:r>
    </w:p>
    <w:p>
      <w:r>
        <w:rPr>
          <w:color w:val="555555"/>
          <w:sz w:val="17"/>
        </w:rPr>
        <w:t xml:space="preserve">Zitiervorschlag: § 14 EnEfG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https://recht.nulegal.eu/gesetze/EnEfG/14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