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EnEfG — Informationspflicht für Betreiber von Rechenzentren und für Betreiber von Informationstechnik; Verordnungsermächtigung</w:t>
      </w:r>
    </w:p>
    <w:p>
      <w:r>
        <w:rPr>
          <w:color w:val="555555"/>
          <w:sz w:val="18"/>
        </w:rPr>
        <w:t xml:space="preserve">Energieeffizienzgesetz</w:t>
      </w:r>
    </w:p>
    <w:p>
      <w:r>
        <w:rPr>
          <w:color w:val="555555"/>
          <w:sz w:val="18"/>
        </w:rPr>
        <w:t xml:space="preserve">Stand: 18.11.2023 (konsolidierte Textfassung, kein amtliches Inkrafttretensdatum)</w:t>
      </w:r>
    </w:p>
    <w:p>
      <w:r>
        <w:t xml:space="preserve">(1) Betreiber von Rechenzentren sind verpflichtet, bis zum Ablauf des 31. März eines jeden Jahres Informationen über ihr Rechenzentrum nach Maßgabe der Anlage 3 für das vorangegangene Kalenderjahr zu veröffentlichen und an den Bund zu übermitteln. Die Übermittlung soll in der vom Bund hierzu bereitgestellten elektronischen Vorlage erfolgen. Der Bund kann die elektronische Vorlage mit der elektronischen Vorlage nach § 17 Absatz 2 zu einer einheitlichen Vorlage verbinden.</w:t>
      </w:r>
    </w:p>
    <w:p>
      <w:r>
        <w:t xml:space="preserve">(2) Die Bundesregierung wird ermächtigt, durch Rechtsverordnung mit Zustimmung des Bundesrates zusätzliche Informationspflichten zu Absatz 1 festzulegen, soweit diese zum besseren Vergleich der Energieeffizienzleistung von Rechenzentren und Informationstechnik erforderlich sind.</w:t>
      </w:r>
    </w:p>
    <w:p>
      <w:r>
        <w:rPr>
          <w:color w:val="555555"/>
          <w:sz w:val="17"/>
        </w:rPr>
        <w:t xml:space="preserve">Zitiervorschlag: § 13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