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EnEV 2007 — (zu § 6 Absatz 1)Anforderungen an die Dichtheit des gesamten Gebäudes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(Fundstelle: BGBl. I 2013, 3976)</w:t>
      </w:r>
    </w:p>
    <w:p>
      <w:r>
        <w:t xml:space="preserve">Wird bei Anwendung des § 6 Absatz 1 Satz 2 eine Überprüfung der Anforderungen nach § 6 Absatz 1 Satz 1 durchgeführt, darf der nach DIN EN 13829 : 2001-02 mit dem dort beschriebenen Verfahren B bei einer Druckdifferenz zwischen innen und außen von 50 Pa gemessene Volumenstrom – bezogen auf das beheizte oder gekühlte Luftvolumen – folgende Werte nicht überschreiten:</w:t>
      </w:r>
    </w:p>
    <w:p>
      <w:pPr>
        <w:ind w:left="420"/>
      </w:pPr>
      <w:r>
        <w:t xml:space="preserve">– bei Gebäuden ohne raumlufttechnische Anlagen 3,0 h-1 und</w:t>
      </w:r>
    </w:p>
    <w:p>
      <w:pPr>
        <w:ind w:left="420"/>
      </w:pPr>
      <w:r>
        <w:t xml:space="preserve">– bei Gebäuden mit raumlufttechnischen Anlagen 1,5 h-1.</w:t>
      </w:r>
    </w:p>
    <w:p>
      <w:r>
        <w:t xml:space="preserve">Abweichend von Satz 1 darf bei Wohngebäuden, deren Jahres-Primärenergiebedarf nach Anlage 1 Nummer 2.1.1 berechnet wird und deren Luftvolumen 1 500 m3 übersteigt, sowie bei Nichtwohngebäuden, deren Luftvolumen aller konditionierten Zonen nach DIN V 18599-1 : 2011-12 insgesamt 1 500 m3 übersteigt, der nach DIN EN 13829 : 2001-02 mit dem dort beschriebenen Verfahren B bei einer Druckdifferenz zwischen innen und außen von 50 Pa gemessene Volumenstrom – bezogen auf die Hüllfläche des Gebäudes – folgende Werte nicht überschreiten:</w:t>
      </w:r>
    </w:p>
    <w:p>
      <w:pPr>
        <w:ind w:left="420"/>
      </w:pPr>
      <w:r>
        <w:t xml:space="preserve">– bei Gebäuden ohne raumlufttechnische Anlagen 4,5 m·h-1 und</w:t>
      </w:r>
    </w:p>
    <w:p>
      <w:pPr>
        <w:ind w:left="420"/>
      </w:pPr>
      <w:r>
        <w:t xml:space="preserve">– bei Gebäuden mit raumlufttechnischen Anlagen 2,5 m·h-1.</w:t>
      </w:r>
    </w:p>
    <w:p>
      <w:r>
        <w:t xml:space="preserve">Wird bei Berechnungen nach Anlage 2 Nummer 2 die Dichtheit nach Kategorie I lediglich für bestimmte Zonen berücksichtigt oder ergeben sich für einzelne Zonen des Gebäudes aus den Sätzen 1 und 2 unterschiedliche Anforderungen, so können die Sätze 1 und 2 auf diese Zonen getrennt angewandt werden.</w:t>
      </w:r>
    </w:p>
    <w:p>
      <w:r>
        <w:rPr>
          <w:color w:val="555555"/>
          <w:sz w:val="17"/>
        </w:rPr>
        <w:t xml:space="preserve">Zitiervorschlag: Anlage 4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