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EnEV 2007 — Änderung, Erweiterung und Ausbau von Gebäuden</w:t>
      </w:r>
    </w:p>
    <w:p>
      <w:r>
        <w:rPr>
          <w:color w:val="555555"/>
          <w:sz w:val="18"/>
        </w:rPr>
        <w:t xml:space="preserve">Energieeinsparverordnung</w:t>
      </w:r>
    </w:p>
    <w:p>
      <w:r>
        <w:rPr>
          <w:color w:val="555555"/>
          <w:sz w:val="18"/>
        </w:rPr>
        <w:t xml:space="preserve">Historische Fassung: Stand 30.06.2020 bis 06.11.2020. Dies ist nicht die aktuelle Fassung.</w:t>
      </w:r>
    </w:p>
    <w:p>
      <w:r>
        <w:t xml:space="preserve">(1) Soweit bei beheizten oder gekühlten Räumen von Gebäuden Änderungen im Sinne der Anlage 3 Nummer 1 bis 6 ausgeführt werden, sind die Änderungen so auszuführen, dass die Wärmedurchgangskoeffizienten der betroffenen Flächen die für solche Außenbauteile in Anlage 3 festgelegten Höchstwerte der Wärmedurchgangskoeffizienten nicht überschreiten. Die Anforderungen des Satzes 1 gelten als erfüllt, wenn</w:t>
      </w:r>
    </w:p>
    <w:p>
      <w:pPr>
        <w:ind w:left="420"/>
      </w:pPr>
      <w:r>
        <w:t xml:space="preserve">1. geänderte Wohngebäude insgesamt den Jahres-Primärenergiebedarf des Referenzgebäudes nach § 3 Absatz 1 und den Höchstwert des spezifischen, auf die wärmeübertragende Umfassungsfläche bezogenen Transmissionswärmeverlusts nach Anlage 1 Tabelle 2,</w:t>
      </w:r>
    </w:p>
    <w:p>
      <w:pPr>
        <w:ind w:left="420"/>
      </w:pPr>
      <w:r>
        <w:t xml:space="preserve">2. geänderte Nichtwohngebäude insgesamt den Jahres-Primärenergiebedarf des Referenzgebäudes nach § 4 Absatz 1 und die Höchstwerte der mittleren Wärmedurchgangskoeffizienten der wärmeübertragenden Umfassungsfläche nach Anlage 2 Tabelle 2 Zeile 1a, 2a, 3a und 4a</w:t>
      </w:r>
    </w:p>
    <w:p>
      <w:r>
        <w:t xml:space="preserve">um nicht mehr als 40 vom Hundert überschreiten; wird nach Nummer 1 oder 2 der zulässige Jahres-Primärenergiebedarf ermittelt, ist jeweils die Zeile 1.0 der Anlage 1 Tabelle 1 oder der Anlage 2 Tabelle 1 nicht anzuwenden.</w:t>
      </w:r>
    </w:p>
    <w:p>
      <w:r>
        <w:t xml:space="preserve">(2) In Fällen des Absatzes 1 Satz 2 sind die in § 3 Absatz 3 sowie in § 4 Absatz 3 angegebenen Berechnungsverfahren nach Maßgabe der Sätze 2 und 4 und des § 5 entsprechend anzuwenden. Soweit</w:t>
      </w:r>
    </w:p>
    <w:p>
      <w:pPr>
        <w:ind w:left="420"/>
      </w:pPr>
      <w:r>
        <w:t xml:space="preserve">1. Angaben zu geometrischen Abmessungen von Gebäuden fehlen, können diese durch vereinfachtes Aufmaß ermittelt werden;</w:t>
      </w:r>
    </w:p>
    <w:p>
      <w:pPr>
        <w:ind w:left="420"/>
      </w:pPr>
      <w:r>
        <w:t xml:space="preserve">2. energetische Kennwerte für bestehende Bauteile und Anlagenkomponenten nicht vorliegen, können gesicherte Erfahrungswerte für Bauteile und Anlagenkomponenten vergleichbarer Altersklassen verwendet werden;</w:t>
      </w:r>
    </w:p>
    <w:p>
      <w:r>
        <w:t xml:space="preserve">hierbei können anerkannte Regeln der Technik verwendet werden; die Einhaltung solcher Regeln wird vermutet, soweit Vereinfachungen für die Datenaufnahme und die Ermittlung der energetischen Eigenschaften sowie gesicherte Erfahrungswerte verwendet werden, die vom Bundesministerium für Wirtschaft und Energie und dem Bundesministerium des Innern, für Bau und Heimat gemeinsam im Bundesanzeiger bekannt gemacht worden sind. Satz 2 kann auch in Fällen des Absatzes 1 Satz 1 sowie des Absatzes 4 angewendet werden. Bei Anwendung der Verfahren nach § 3 Absatz 3 sind die Randbedingungen und Maßgaben nach Anlage 3 Nr. 8 zu beachten.</w:t>
      </w:r>
    </w:p>
    <w:p>
      <w:r>
        <w:t xml:space="preserve">(3) Absatz 1 ist nicht anzuwenden auf Änderungen von Außenbauteilen, wenn die Fläche der geänderten Bauteile nicht mehr als 10 vom Hundert der gesamten jeweiligen Bauteilfläche des Gebäudes betrifft.</w:t>
      </w:r>
    </w:p>
    <w:p>
      <w:r>
        <w:t xml:space="preserve">(4) Bei der Erweiterung und dem Ausbau eines Gebäudes um beheizte oder gekühlte Räume, für die kein Wärmeerzeuger eingebaut wird, sind die betroffenen Außenbauteile so zu ändern oder auszuführen, dass die Wärmedurchgangskoeffizienten der betroffenen Flächen die für solche Außenbauteile in Anlage 3 festgelegten Höchstwerte der Wärmedurchgangskoeffizienten nicht überschreiten. Ist die hinzukommende zusammenhängende Nutzfläche größer als 50 Quadratmeter, sind außerdem die Anforderungen an den sommerlichen Wärmeschutz nach Anlage 1 Nummer 3 oder Anlage 2 Nummer 4 einzuhalten.</w:t>
      </w:r>
    </w:p>
    <w:p>
      <w:r>
        <w:t xml:space="preserve">(5) Wird in Fällen des Absatzes 4 Satz 2 ein neuer Wärmeerzeuger eingebaut, sind die betroffenen Außenbauteile so zu ändern oder auszuführen, dass der neue Gebäudeteil die Vorschriften für zu errichtende Gebäude nach § 3 oder § 4 einhält. Bei der Ermittlung des zulässigen Jahres-Primärenergiebedarfs ist jeweils die Zeile 1.0 der Anlage 1 Tabelle 1 oder der Anlage 2 Tabelle 1 nicht anzuwenden. Bei Wohngebäuden ergibt sich der zulässige Höchstwert des spezifischen, auf die wärmeübertragende Umfassungsfläche bezogenen Transmissionswärmeverlusts aus Anlage 1 Tabelle 2; bei Nichtwohngebäuden ergibt sich der Höchstwert des mittleren Wärmedurchgangskoeffizienten der wärmeübertragenden Umfassungsfläche aus Anlage 2 Tabelle 2 Zeile 1a, 2a, 3a und 4a. Hinsichtlich der Dichtheit der Gebäudehülle kann auch beim Referenzgebäude die Dichtheit des hinzukommenden Gebäudeteils in Ansatz gebracht werden.</w:t>
      </w:r>
    </w:p>
    <w:p>
      <w:r>
        <w:rPr>
          <w:color w:val="555555"/>
          <w:sz w:val="17"/>
        </w:rPr>
        <w:t xml:space="preserve">Zitiervorschlag: § 9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