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EnEV 2007 — Dichtheit, Mindestluftwechsel</w:t>
      </w:r>
    </w:p>
    <w:p>
      <w:r>
        <w:rPr>
          <w:color w:val="555555"/>
          <w:sz w:val="18"/>
        </w:rPr>
        <w:t xml:space="preserve">Energieeinsparverordnung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(1) Zu errichtende Gebäude sind so auszuführen, dass die wärmeübertragende Umfassungsfläche einschließlich der Fugen dauerhaft luftundurchlässig entsprechend den anerkannten Regeln der Technik abgedichtet ist. Wird die Dichtheit nach Satz 1 überprüft, kann der Nachweis der Luftdichtheit bei der nach § 3 Absatz 3 und § 4 Absatz 3 erforderlichen Berechnung berücksichtigt werden, wenn die Anforderungen nach Anlage 4 eingehalten sind.</w:t>
      </w:r>
    </w:p>
    <w:p>
      <w:r>
        <w:t xml:space="preserve">(2) Zu errichtende Gebäude sind so auszuführen, dass der zum Zwecke der Gesundheit und Beheizung erforderliche Mindestluftwechsel sichergestellt ist.</w:t>
      </w:r>
    </w:p>
    <w:p>
      <w:r>
        <w:rPr>
          <w:color w:val="555555"/>
          <w:sz w:val="17"/>
        </w:rPr>
        <w:t xml:space="preserve">Zitiervorschlag: § 6 EnEV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https://recht.nulegal.eu/gesetze/EnEV%202007/6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