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EnEV 2007 — Anforderungen an Nichtwohngebäude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Zu errichtende Nichtwohngebäude sind so auszuführen, dass der Jahres-Primärenergiebedarf für Heizung, Warmwasserbereitung, Lüftung, Kühlung und eingebaute Beleuchtung den Wert des Jahres-Primärenergiebedarfs eines Referenzgebäudes gleicher Geometrie, Nettogrundfläche, Ausrichtung und Nutzung einschließlich der Anordnung der Nutzungseinheiten mit der in Anlage 2 Tabelle 1 angegebenen technischen Referenzausführung nicht überschreitet.</w:t>
      </w:r>
    </w:p>
    <w:p>
      <w:r>
        <w:t xml:space="preserve">(2) Zu errichtende Nichtwohngebäude sind so auszuführen, dass die Höchstwerte der mittleren Wärmedurchgangskoeffizienten der wärmeübertragenden Umfassungsfläche nach Anlage 2 Tabelle 2 nicht überschritten werden.</w:t>
      </w:r>
    </w:p>
    <w:p>
      <w:r>
        <w:t xml:space="preserve">(3) Für das zu errichtende Nichtwohngebäude und das Referenzgebäude ist der Jahres-Primärenergiebedarf nach einem der in Anlage 2 Nummer 2 oder 3 genannten Verfahren zu berechnen. Das zu errichtende Nichtwohngebäude und das Referenzgebäude sind mit demselben Verfahren zu berechnen.</w:t>
      </w:r>
    </w:p>
    <w:p>
      <w:r>
        <w:t xml:space="preserve">(4) Zu errichtende Nichtwohngebäude sind so auszuführen, dass die Anforderungen an den sommerlichen Wärmeschutz nach Anlage 2 Nummer 4 eingehalten werden.</w:t>
      </w:r>
    </w:p>
    <w:p>
      <w:r>
        <w:rPr>
          <w:color w:val="555555"/>
          <w:sz w:val="17"/>
        </w:rPr>
        <w:t xml:space="preserve">Zitiervorschlag: § 4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