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EnEV 2007 — Anforderungen an Wohngebäude</w:t>
      </w:r>
    </w:p>
    <w:p>
      <w:r>
        <w:rPr>
          <w:color w:val="555555"/>
          <w:sz w:val="18"/>
        </w:rPr>
        <w:t xml:space="preserve">Energieeinsparverordnung</w:t>
      </w:r>
    </w:p>
    <w:p>
      <w:r>
        <w:rPr>
          <w:color w:val="555555"/>
          <w:sz w:val="18"/>
        </w:rPr>
        <w:t xml:space="preserve">Historische Fassung: Stand 30.06.2020 bis 06.11.2020. Dies ist nicht die aktuelle Fassung.</w:t>
      </w:r>
    </w:p>
    <w:p>
      <w:r>
        <w:t xml:space="preserve">(1) Zu errichtende Wohngebäude sind so auszuführen, dass der Jahres-Primärenergiebedarf für Heizung, Warmwasserbereitung, Lüftung und Kühlung den Wert des Jahres-Primärenergiebedarfs eines Referenzgebäudes gleicher Geometrie, Gebäudenutzfläche und Ausrichtung mit der in Anlage 1 Tabelle 1 angegebenen technischen Referenzausführung nicht überschreitet.</w:t>
      </w:r>
    </w:p>
    <w:p>
      <w:r>
        <w:t xml:space="preserve">(2) Zu errichtende Wohngebäude sind so auszuführen, dass die Höchstwerte des spezifischen, auf die wärmeübertragende Umfassungsfläche bezogenen Transmissionswärmeverlusts nach Anlage 1 Nummer 1.2 nicht überschritten werden.</w:t>
      </w:r>
    </w:p>
    <w:p>
      <w:r>
        <w:t xml:space="preserve">(3) Für das zu errichtende Wohngebäude und das Referenzgebäude ist der Jahres-Primärenergiebedarf nach einem der in Anlage 1 Nummer 2 genannten Verfahren zu berechnen. Das zu errichtende Wohngebäude und das Referenzgebäude sind mit demselben Verfahren zu berechnen.</w:t>
      </w:r>
    </w:p>
    <w:p>
      <w:r>
        <w:t xml:space="preserve">(4) Zu errichtende Wohngebäude sind so auszuführen, dass die Anforderungen an den sommerlichen Wärmeschutz nach Anlage 1 Nummer 3 eingehalten werden.</w:t>
      </w:r>
    </w:p>
    <w:p>
      <w:r>
        <w:t xml:space="preserve">(5) Das Bundesministerium für Wirtschaft und Energie kann gemeinsam mit dem Bundesministerium des Innern, für Bau und Heimat für Gruppen von nicht gekühlten Wohngebäuden auf der Grundlage von Modellberechnungen bestimmte Ausstattungsvarianten beschreiben, die unter dort definierten Anwendungsvoraussetzungen die Anforderungen nach den Absätzen 1, 2 und 4 generell erfüllen, und diese im Bundesanzeiger bekannt machen. Die Anwendungsvoraussetzungen können sich auf die Größe, die Form, die Ausrichtung und die Dichtheit der Gebäude sowie auf die Vermeidung von Wärmebrücken und auf die Anteile von bestimmten Außenbauteilen an der wärmeübertragenden Umfassungsfläche beziehen. Die Einhaltung der in den Absätzen 1, 2 und 4 festgelegten Anforderungen wird vermutet, wenn ein nicht gekühltes Wohngebäude die Anwendungsvoraussetzungen erfüllt, die in der Bekanntmachung definiert sind, und gemäß einer der dazu beschriebenen Ausstattungsvarianten errichtet wird; Berechnungen nach Absatz 3 sind nicht erforderlich.</w:t>
      </w:r>
    </w:p>
    <w:p>
      <w:r>
        <w:rPr>
          <w:color w:val="555555"/>
          <w:sz w:val="17"/>
        </w:rPr>
        <w:t xml:space="preserve">Zitiervorschlag: § 3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