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 EnEV 2007 — Übergangsvorschriften für Energieausweise und Aussteller</w:t>
      </w:r>
    </w:p>
    <w:p>
      <w:r>
        <w:rPr>
          <w:color w:val="555555"/>
          <w:sz w:val="18"/>
        </w:rPr>
        <w:t xml:space="preserve">Energieeinsparverordnung</w:t>
      </w:r>
    </w:p>
    <w:p>
      <w:r>
        <w:rPr>
          <w:color w:val="555555"/>
          <w:sz w:val="18"/>
        </w:rPr>
        <w:t xml:space="preserve">Historische Fassung: Stand 30.06.2020 bis 06.11.2020. Dies ist nicht die aktuelle Fassung.</w:t>
      </w:r>
    </w:p>
    <w:p>
      <w:r>
        <w:t xml:space="preserve">(1) Energiebedarfsausweise für Wohngebäude, die nach Fassungen der Energieeinsparverordnung, die vor dem 1. Oktober 2007 gegolten haben, ausgestellt worden sind, gelten als Energieausweise im Sinne des § 16 Absatz 1 Satz 4 und Absatz 2 bis 4 sowie des § 16a; sie sind ab dem Tag der Ausstellung zehn Jahre gültig. Satz 1 ist entsprechend anzuwenden auf Energieausweise, die vor dem 1. Oktober 2007 ausgestellt worden sind</w:t>
      </w:r>
    </w:p>
    <w:p>
      <w:pPr>
        <w:ind w:left="420"/>
      </w:pPr>
      <w:r>
        <w:t xml:space="preserve">1. von Gebietskörperschaften oder auf deren Veranlassung von Dritten nach einheitlichen Regeln, wenn sie Angaben zum Endenergiebedarf oder -verbrauch enthalten, die auch die Warmwasserbereitung und bei Nichtwohngebäuden darüber hinaus die Kühlung und eingebaute Beleuchtung berücksichtigen, und wenn die wesentlichen Energieträger für die Heizung des Gebäudes angegeben sind, oder</w:t>
      </w:r>
    </w:p>
    <w:p>
      <w:pPr>
        <w:ind w:left="420"/>
      </w:pPr>
      <w:r>
        <w:t xml:space="preserve">2. in Anwendung der in dem von der Bundesregierung am 25. April 2007 beschlossenen Entwurf dieser Verordnung (Bundesrats-Drucksache 282/07) enthaltenen Bestimmungen.</w:t>
      </w:r>
    </w:p>
    <w:p>
      <w:r>
        <w:t xml:space="preserve">Energieausweise, die vor dem 1. Oktober 2007 ausgestellt worden sind und nicht von Satz 1 oder Satz 2 erfasst werden, sind von der Fortgeltung im Sinne des Satzes 1 ausgeschlossen; sie können bis zu sechs Monate nach dem 30. April 2014 für Zwecke des § 16 Absatz 1 Satz 4 und Absatz 2 bis 4 verwendet werden.</w:t>
      </w:r>
    </w:p>
    <w:p>
      <w:r>
        <w:t xml:space="preserve">(2) § 16a ist auf Energieausweise, die nach dem 30. September 2007 und vor dem 1. Mai 2014 ausgestellt worden sind, mit den folgenden Maßgaben anzuwenden. Als Pflichtangabe nach § 16a Absatz 1 Satz 1 Nummer 2 ist in Immobilienanzeigen anzugeben:</w:t>
      </w:r>
    </w:p>
    <w:p>
      <w:pPr>
        <w:ind w:left="420"/>
      </w:pPr>
      <w:r>
        <w:t xml:space="preserve">1. bei Energiebedarfsausweisen für Wohngebäude der Wert des Endenergiebedarfs, der auf Seite 2 des Energieausweises gemäß dem Muster nach Anlage 6 angegeben ist;</w:t>
      </w:r>
    </w:p>
    <w:p>
      <w:pPr>
        <w:ind w:left="420"/>
      </w:pPr>
      <w:r>
        <w:t xml:space="preserve">2. bei Energieverbrauchsausweisen für Wohngebäude der Energieverbrauchskennwert, der auf Seite 3 des Energieausweises gemäß dem Muster nach Anlage 6 angegeben ist; ist im Energieverbrauchskennwert der Energieverbrauch für Warmwasser nicht enthalten, so ist der Energieverbrauchskennwert um eine Pauschale von 20 Kilowattstunden pro Jahr und Quadratmeter Gebäudenutzfläche zu erhöhen;</w:t>
      </w:r>
    </w:p>
    <w:p>
      <w:pPr>
        <w:ind w:left="420"/>
      </w:pPr>
      <w:r>
        <w:t xml:space="preserve">3. bei Energiebedarfsausweisen für Nichtwohngebäude der Gesamtwert des Endenergiebedarfs, der Seite 2 des Energieausweises gemäß dem Muster nach Anlage 7 zu entnehmen ist;</w:t>
      </w:r>
    </w:p>
    <w:p>
      <w:pPr>
        <w:ind w:left="420"/>
      </w:pPr>
      <w:r>
        <w:t xml:space="preserve">4. bei Energieverbrauchsausweisen für Nichtwohngebäude sowohl der Heizenergieverbrauchs- als auch der Stromverbrauchskennwert, die Seite 3 des Energieausweises gemäß dem Muster nach Anlage 7 zu entnehmen sind.</w:t>
      </w:r>
    </w:p>
    <w:p>
      <w:r>
        <w:t xml:space="preserve">Die Sätze 1 und 2 sind entsprechend auf Energieausweise nach Absatz 1 Satz 2 Nummer 2 anzuwenden. Bei Energieausweisen für Wohngebäude nach Satz 1 und nach Absatz 1 Satz 2 Nummer 2, bei denen noch keine Energieeffizienzklasse angegeben ist, darf diese freiwillig angegeben werden, wobei sich die Klasseneinteilung gemäß Anlage 10 aus dem Endenergiebedarf oder dem Endenergieverbrauch des Gebäudes ergibt. Das Bundesministerium für Wirtschaft und Energie und das Bundesministerium des Innern, für Bau und Heimat können für Energieausweise nach Satz 1 und nach Absatz 1 Satz 2 Nummer 2 Arbeitshilfen zu den Pflichtangaben in Immobilienanzeigen im Bundesanzeiger gemeinsam bekannt machen.</w:t>
      </w:r>
    </w:p>
    <w:p>
      <w:r>
        <w:t xml:space="preserve">(3) § 16a ist auf Energieausweise nach Absatz 1 Satz 1 und 2 Nummer 1 mit folgenden Maßgaben anzuwenden. Als Pflichtangaben nach § 16a Absatz 1 Satz 1 Nummer 2 und 3 sind in Immobilienanzeigen anzugeben:</w:t>
      </w:r>
    </w:p>
    <w:p>
      <w:pPr>
        <w:ind w:left="420"/>
      </w:pPr>
      <w:r>
        <w:t xml:space="preserve">1. bei Energiebedarfsausweisen für Wohngebäude nach Absatz 1 Satz 1, jeweils gemäß dem Muster A des Anhangs der Allgemeinen Verwaltungsvorschrift zu § 13 der Energieeinsparverordnung in der Fassung vom 7. März 2002 (BAnz. S. 4865), geändert durch Allgemeine Verwaltungsvorschrift vom 2. Dezember 2004 (BAnz. S. 23 804),</w:t>
      </w:r>
    </w:p>
    <w:p>
      <w:pPr>
        <w:ind w:left="780"/>
      </w:pPr>
      <w:r>
        <w:t xml:space="preserve">a) der Wert des Endenergiebedarfs, der sich aus der Addition der Werte des Endenergiebedarfs für die einzelnen Energieträger ergibt, und</w:t>
      </w:r>
    </w:p>
    <w:p>
      <w:pPr>
        <w:ind w:left="780"/>
      </w:pPr>
      <w:r>
        <w:t xml:space="preserve">b) die Art der Beheizung;</w:t>
      </w:r>
    </w:p>
    <w:p>
      <w:pPr>
        <w:ind w:left="420"/>
      </w:pPr>
      <w:r>
        <w:t xml:space="preserve">2. bei Energieausweisen nach Absatz 1 Satz 2 Nummer 1 der im Energieausweis angegebene Endenergiebedarf oder Endenergieverbrauch und die dort angegebenen wesentlichen Energieträger für die Heizung des Gebäudes.</w:t>
      </w:r>
    </w:p>
    <w:p>
      <w:r>
        <w:t xml:space="preserve">Bei Energieausweisen für Wohngebäude nach Satz 1 und Absatz 1 Satz 2 Nummer 2, bei denen noch keine Energieeffizienzklasse angegeben ist, darf diese freiwillig angegeben werden, wobei sich die Klasseneinteilung gemäß Anlage 10 aus dem Endenergiebedarf oder dem Endenergieverbrauch des Gebäudes ergibt. Absatz 2 Satz 5 ist entsprechend anzuwenden.</w:t>
      </w:r>
    </w:p>
    <w:p>
      <w:r>
        <w:t xml:space="preserve">(3a) In den Fällen des § 16 Absatz 2 sind begleitende Modernisierungsempfehlungen zu noch geltenden Energieausweisen, die nach Maßgabe der am 1. Oktober 2007 oder am 1. Oktober 2009 in Kraft getretenen Fassung der Energieeinsparverordnung ausgestellt worden sind, dem potenziellen Käufer oder Mieter zusammen mit dem Energieausweis vorzulegen und dem Käufer oder neuen Mieter mit dem Energieausweis zu übergeben; für die Vorlage und die Übergabe sind im Übrigen die Vorgaben des § 16 Absatz 2 entsprechend anzuwenden.</w:t>
      </w:r>
    </w:p>
    <w:p>
      <w:r>
        <w:t xml:space="preserve">(4) Zur Ausstellung von Energieausweisen für bestehende Wohngebäude nach § 16 Abs. 2 sind ergänzend zu § 21 auch Personen berechtigt, die vor dem 25. April 2007 nach Maßgabe der Richtlinie des Bundesministeriums für Wirtschaft und Technologie über die Förderung der Beratung zur sparsamen und rationellen Energieverwendung in Wohngebäuden vor Ort vom 7. September 2006 (BAnz. S. 6379) als Antragsberechtigte beim Bundesamt für Wirtschaft und Ausfuhrkontrolle registriert worden sind.</w:t>
      </w:r>
    </w:p>
    <w:p>
      <w:r>
        <w:t xml:space="preserve">(5) Zur Ausstellung von Energieausweisen für bestehende Wohngebäude nach § 16 Abs. 2 sind ergänzend zu § 21 auch Personen berechtigt, die am 25. April 2007 über eine abgeschlossene Berufsausbildung im Baustoff-Fachhandel oder in der Baustoffindustrie und eine erfolgreich abgeschlossene Weiterbildung zum Energiefachberater im Baustoff-Fachhandel oder in der Baustoffindustrie verfügt haben. Satz 1 gilt entsprechend für Personen, die eine solche Weiterbildung vor dem 25. April 2007 begonnen haben, nach erfolgreichem Abschluss der Weiterbildung.</w:t>
      </w:r>
    </w:p>
    <w:p>
      <w:r>
        <w:t xml:space="preserve">(6) Zur Ausstellung von Energieausweisen für bestehende Wohngebäude nach § 16 Abs. 2 sind ergänzend zu § 21 auch Personen berechtigt, die am 25. April 2007 über eine abgeschlossene Weiterbildung zum Energieberater des Handwerks verfügt haben. Satz 1 gilt entsprechend für Personen, die eine solche Weiterbildung vor dem 25. April 2007 begonnen haben, nach erfolgreichem Abschluss der Weiterbildung.</w:t>
      </w:r>
    </w:p>
    <w:p>
      <w:r>
        <w:rPr>
          <w:color w:val="555555"/>
          <w:sz w:val="17"/>
        </w:rPr>
        <w:t xml:space="preserve">Zitiervorschlag: § 29 EnEV 2007</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https://recht.nulegal.eu/gesetze/EnEV%202007/29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