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EnEV 2007 — Allgemeine Übergangsvorschriften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Auf Vorhaben, welche die Errichtung, die Änderung, die Erweiterung oder den Ausbau von Gebäuden zum Gegenstand haben, ist diese Verordnung in der zum Zeitpunkt der Bauantragstellung oder der Bauanzeige geltenden Fassung anzuwenden.</w:t>
      </w:r>
    </w:p>
    <w:p>
      <w:r>
        <w:t xml:space="preserve">(2) Auf nicht genehmigungsbedürftige Vorhaben, die nach Maßgabe des Bauordnungsrechts der Gemeinde zur Kenntnis zu geben sind, ist diese Verordnung in der zum Zeitpunkt der Kenntnisgabe gegenüber der zuständigen Behörde geltenden Fassung anzuwenden.</w:t>
      </w:r>
    </w:p>
    <w:p>
      <w:r>
        <w:t xml:space="preserve">(3) Auf sonstige nicht genehmigungsbedürftige, insbesondere genehmigungs-, anzeige- und verfahrensfreie Vorhaben ist diese Verordnung in der zum Zeitpunkt des Beginns der Bauausführung geltenden Fassung anzuwenden.</w:t>
      </w:r>
    </w:p>
    <w:p>
      <w:r>
        <w:t xml:space="preserve">(3a) Wird nach dem 30. April 2014 ein Energieausweis gemäß § 16 Absatz 1 Satz 1 oder 3 für ein Gebäude ausgestellt, auf das nach den Absätzen 1 bis 3 eine vor dem 1. Mai 2014 geltende Fassung dieser Verordnung anzuwenden ist, ist in der Kopfzeile zumindest der ersten Seite des Energieausweises in geeigneter Form die angewandte Fassung dieser Verordnung anzugeben.</w:t>
      </w:r>
    </w:p>
    <w:p>
      <w:r>
        <w:t xml:space="preserve">(4) Auf Verlangen des Bauherrn ist abweichend von Absatz 1 das neue Recht anzuwenden, wenn über den Bauantrag oder nach einer Bauanzeige noch nicht bestandskräftig entschieden worden ist.</w:t>
      </w:r>
    </w:p>
    <w:p>
      <w:r>
        <w:rPr>
          <w:color w:val="555555"/>
          <w:sz w:val="17"/>
        </w:rPr>
        <w:t xml:space="preserve">Zitiervorschlag: § 28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