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26f EnEV 2007 — Erfahrungsberichte der Länder</w:t>
      </w:r>
    </w:p>
    <w:p>
      <w:r>
        <w:rPr>
          <w:color w:val="555555"/>
          <w:sz w:val="18"/>
        </w:rPr>
        <w:t xml:space="preserve">Energieeinsparverordnung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Die Länder berichten der Bundesregierung erstmals zum 1. März 2017, danach alle drei Jahre, über die wesentlichen Erfahrungen mit den Stichprobenkontrollen nach § 26d. Die Berichte dürfen keine personenbezogenen Daten enthalten.</w:t>
      </w:r>
    </w:p>
    <w:p>
      <w:r>
        <w:rPr>
          <w:color w:val="555555"/>
          <w:sz w:val="17"/>
        </w:rPr>
        <w:t xml:space="preserve">Zitiervorschlag: § 26f EnEV 2007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https://recht.nulegal.eu/gesetze/EnEV%202007/26f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