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EnEV 2007 — Private Nachweise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Wer geschäftsmäßig an oder in bestehenden Gebäuden Arbeiten</w:t>
      </w:r>
    </w:p>
    <w:p>
      <w:pPr>
        <w:ind w:left="420"/>
      </w:pPr>
      <w:r>
        <w:t xml:space="preserve">1. zur Änderung von Außenbauteilen im Sinne des § 9 Absatz 1 Satz 1,</w:t>
      </w:r>
    </w:p>
    <w:p>
      <w:pPr>
        <w:ind w:left="420"/>
      </w:pPr>
      <w:r>
        <w:t xml:space="preserve">2. zur Dämmung oberster Geschossdecken im Sinne von § 10 Absatz 3, auch in Verbindung mit Absatz 4, oder</w:t>
      </w:r>
    </w:p>
    <w:p>
      <w:pPr>
        <w:ind w:left="420"/>
      </w:pPr>
      <w:r>
        <w:t xml:space="preserve">3. zum erstmaligen Einbau oder zur Ersetzung von Heizkesseln und sonstigen Wärmeerzeugersystemen nach § 13, Verteilungseinrichtungen oder Warmwasseranlagen nach § 14 oder Klimaanlagen oder sonstigen Anlagen der Raumlufttechnik nach § 15</w:t>
      </w:r>
    </w:p>
    <w:p>
      <w:r>
        <w:t xml:space="preserve">durchführt, hat dem Eigentümer unverzüglich nach Abschluss der Arbeiten schriftlich zu bestätigen, dass die von ihm geänderten oder eingebauten Bau- oder Anlagenteile den Anforderungen dieser Verordnung entsprechen (Unternehmererklärung).</w:t>
      </w:r>
    </w:p>
    <w:p>
      <w:r>
        <w:t xml:space="preserve">(2) Mit der Unternehmererklärung wird die Erfüllung der Pflichten aus den in Absatz 1 genannten Vorschriften nachgewiesen. Die Unternehmererklärung ist von dem Eigentümer mindestens fünf Jahre aufzubewahren. Der Eigentümer hat die Unternehmererklärungen der nach Landesrecht zuständigen Behörde auf Verlangen vorzulegen.</w:t>
      </w:r>
    </w:p>
    <w:p>
      <w:r>
        <w:rPr>
          <w:color w:val="555555"/>
          <w:sz w:val="17"/>
        </w:rPr>
        <w:t xml:space="preserve">Zitiervorschlag: § 26a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