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EnEV 2007 — Gebäude für die Unterbringung von Asylsuchenden und Flüchtlingen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(1) Gebäude, die bis zum 31. Dezember 2018 geändert, erweitert oder ausgebaut werden, um sie als Aufnahmeeinrichtungen nach § 44 des Asylgesetzes oder als Gemeinschaftsunterkünfte nach § 53 des Asylgesetzes zu nutzen, sind von den Anforderungen des § 9 befreit. Die Anforderungen an den Mindestwärmeschutz nach den anerkannten Regeln der Technik sind einzuhalten.</w:t>
      </w:r>
    </w:p>
    <w:p>
      <w:r>
        <w:t xml:space="preserve">(2) Im Übrigen kann die zuständige Landesbehörde bei Anträgen auf Befreiung nach § 25 Absatz 1 Satz 1, die bis zum 31. Dezember 2018 gestellt werden, von einer unbilligen Härte ausgehen, wenn die Anforderungen dieser Verordnung im Einzelfall die Schaffung von Aufnahmeeinrichtungen nach § 44 des Asylgesetzes oder von Gemeinschaftsunterkünften nach § 53 des Asylgesetzes erheblich verzögern würden.</w:t>
      </w:r>
    </w:p>
    <w:p>
      <w:r>
        <w:t xml:space="preserve">(3) Gebäude, die als Aufnahmeeinrichtungen nach § 44 des Asylgesetzes oder als Gemeinschaftsunterkünfte nach § 53 des Asylgesetzes genutzt werden, sind bis zum 31. Dezember 2018 von der Verpflichtung nach § 10 Absatz 3 befreit.</w:t>
      </w:r>
    </w:p>
    <w:p>
      <w:r>
        <w:t xml:space="preserve">(4) Die Ausnahme von den Anforderungen dieser Verordnung nach § 1 Absatz 3 Satz 1 ist bis zum 31. Dezember 2018 auch für die in § 1 Absatz 3 Satz 1 Nummer 6 genannten Gebäude mit einer geplanten Nutzungsdauer von bis zu fünf Jahren anzuwenden, wenn die Gebäude dazu bestimmt sind, als Aufnahmeeinrichtungen nach § 44 des Asylgesetzes oder als Gemeinschaftsunterkünfte nach § 53 des Asylgesetzes zu dienen.</w:t>
      </w:r>
    </w:p>
    <w:p>
      <w:r>
        <w:rPr>
          <w:color w:val="555555"/>
          <w:sz w:val="17"/>
        </w:rPr>
        <w:t xml:space="preserve">Zitiervorschlag: § 25a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