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EnEV 2007 — Ausnahmen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Soweit bei Baudenkmälern oder sonstiger besonders erhaltenswerter Bausubstanz die Erfüllung der Anforderungen dieser Verordnung die Substanz oder das Erscheinungsbild beeinträchtigen oder andere Maßnahmen zu einem unverhältnismäßig hohen Aufwand führen, kann von den Anforderungen dieser Verordnung abgewichen werden.</w:t>
      </w:r>
    </w:p>
    <w:p>
      <w:r>
        <w:t xml:space="preserve">(2) Soweit die Ziele dieser Verordnung durch andere als in dieser Verordnung vorgesehene Maßnahmen im gleichen Umfang erreicht werden, lassen die nach Landesrecht zuständigen Behörden auf Antrag Ausnahmen zu.</w:t>
      </w:r>
    </w:p>
    <w:p>
      <w:r>
        <w:rPr>
          <w:color w:val="555555"/>
          <w:sz w:val="17"/>
        </w:rPr>
        <w:t xml:space="preserve">Zitiervorschlag: § 24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