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EnEV 2007 — Ausstellung auf der Grundlage des Energieverbrauchs</w:t>
      </w:r>
    </w:p>
    <w:p>
      <w:r>
        <w:rPr>
          <w:color w:val="555555"/>
          <w:sz w:val="18"/>
        </w:rPr>
        <w:t xml:space="preserve">Energieeinsparverordnung</w:t>
      </w:r>
    </w:p>
    <w:p>
      <w:r>
        <w:rPr>
          <w:color w:val="555555"/>
          <w:sz w:val="18"/>
        </w:rPr>
        <w:t xml:space="preserve">Historische Fassung: Stand 30.06.2020 bis 06.11.2020. Dies ist nicht die aktuelle Fassung.</w:t>
      </w:r>
    </w:p>
    <w:p>
      <w:r>
        <w:t xml:space="preserve">(1) Werden Energieausweise für bestehende Gebäude auf der Grundlage des erfassten Energieverbrauchs ausgestellt, sind der witterungsbereinigte Endenergie- und Primärenergieverbrauch nach Maßgabe der Absätze 2 und 3 zu berechnen. Die Ergebnisse sind in den Energieausweisen anzugeben, soweit ihre Angabe für Energieverbrauchswerte in den Mustern der Anlagen 6, 7 und 9 vorgesehen ist. Die Bestimmungen des § 9 Abs. 2 Satz 2 über die vereinfachte Datenerhebung sind entsprechend anzuwenden.</w:t>
      </w:r>
    </w:p>
    <w:p>
      <w:r>
        <w:t xml:space="preserve">(2) Bei Wohngebäuden ist der Endenergieverbrauch für Heizung und Warmwasserbereitung zu ermitteln und in Kilowattstunden pro Jahr und Quadratmeter Gebäudenutzfläche anzugeben. Ist im Fall dezentraler Warmwasserbereitung in Wohngebäuden der hierauf entfallende Verbrauch nicht bekannt, ist der Endenergieverbrauch um eine Pauschale von 20 Kilowattstunden pro Jahr und Quadratmeter Gebäudenutzfläche zu erhöhen. Im Fall der Kühlung von Raumluft in Wohngebäuden ist der für Heizung und Warmwasser ermittelte Endenergieverbrauch um eine Pauschale von 6 Kilowattstunden pro Jahr und Quadratmeter gekühlte Gebäudenutzfläche zu erhöhen. Ist die Gebäudenutzfläche nicht bekannt, kann sie bei Wohngebäuden mit bis zu zwei Wohneinheiten mit beheiztem Keller pauschal mit dem 1,35fachen Wert der Wohnfläche, bei sonstigen Wohngebäuden mit dem 1,2fachen Wert der Wohnfläche angesetzt werden. Bei Nichtwohngebäuden ist der Endenergieverbrauch für Heizung, Warmwasserbereitung, Kühlung, Lüftung und eingebaute Beleuchtung zu ermitteln und in Kilowattstunden pro Jahr und Quadratmeter Nettogrundfläche anzugeben. Der Endenergieverbrauch für Heizung ist einer Witterungsbereinigung zu unterziehen. Der Primärenergieverbrauch wird auf der Grundlage des Endenergieverbrauchs und der Primärenergiefaktoren nach Anlage 1 Nummer 2.1.1 Satz 2 bis 7 errechnet.</w:t>
      </w:r>
    </w:p>
    <w:p>
      <w:r>
        <w:t xml:space="preserve">(3) Zur Ermittlung des Energieverbrauchs sind</w:t>
      </w:r>
    </w:p>
    <w:p>
      <w:pPr>
        <w:ind w:left="420"/>
      </w:pPr>
      <w:r>
        <w:t xml:space="preserve">1. Verbrauchsdaten aus Abrechnungen von Heizkosten nach der Heizkostenverordnung für das gesamte Gebäude,</w:t>
      </w:r>
    </w:p>
    <w:p>
      <w:pPr>
        <w:ind w:left="420"/>
      </w:pPr>
      <w:r>
        <w:t xml:space="preserve">2. andere geeignete Verbrauchsdaten, insbesondere Abrechnungen von Energielieferanten oder sachgerecht durchgeführte Verbrauchsmessungen, oder</w:t>
      </w:r>
    </w:p>
    <w:p>
      <w:pPr>
        <w:ind w:left="420"/>
      </w:pPr>
      <w:r>
        <w:t xml:space="preserve">3. eine Kombination von Verbrauchsdaten nach den Nummern 1 und 2</w:t>
      </w:r>
    </w:p>
    <w:p>
      <w:r>
        <w:t xml:space="preserve">zu verwenden; dabei sind mindestens die Abrechnungen aus einem zusammenhängenden Zeitraum von 36 Monaten zugrunde zu legen, der die jüngste vorliegende Abrechnungsperiode einschließt. Bei der Ermittlung nach Satz 1 sind längere Leerstände rechnerisch angemessen zu berücksichtigen. Der maßgebliche Energieverbrauch ist der durchschnittliche Verbrauch in dem zugrunde gelegten Zeitraum. Für die Witterungsbereinigung des Endenergieverbrauchs und die angemessene rechnerische Berücksichtigung längerer Leerstände sowie die Berechnung des Primärenergieverbrauchs auf der Grundlage des ermittelten Endenergieverbrauchs ist ein den anerkannten Regeln der Technik entsprechendes Verfahren anzuwenden. Die Einhaltung der anerkannten Regeln der Technik wird vermutet, soweit bei der Ermittlung des Energieverbrauchs Vereinfachungen verwendet werden, die vom Bundesministerium für Wirtschaft und Energie und dem Bundesministerium des Innern, für Bau und Heimat gemeinsam im Bundesanzeiger bekannt gemacht worden sind.</w:t>
      </w:r>
    </w:p>
    <w:p>
      <w:r>
        <w:t xml:space="preserve">(4) Als Vergleichswerte für den Energieverbrauch eines Nichtwohngebäudes sind in den Energieausweis die Werte einzutragen, die jeweils vom Bundesministerium für Wirtschaft und Energie und dem Bundesministerium des Innern, für Bau und Heimat gemeinsam im Bundesanzeiger bekannt gemacht worden sind.</w:t>
      </w:r>
    </w:p>
    <w:p>
      <w:r>
        <w:rPr>
          <w:color w:val="555555"/>
          <w:sz w:val="17"/>
        </w:rPr>
        <w:t xml:space="preserve">Zitiervorschlag: § 19 EnEV 2007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https://recht.nulegal.eu/gesetze/EnEV%202007/19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