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EnEV 2007 — Ausstellung auf der Grundlage des Energiebedarfs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Werden Energieausweise für zu errichtende Gebäude auf der Grundlage des berechneten Energiebedarfs ausgestellt, sind die Ergebnisse der nach den §§ 3 bis 5 erforderlichen Berechnungen zugrunde zu legen. Die Ergebnisse sind in den Energieausweisen anzugeben, soweit ihre Angabe für Energiebedarfswerte in den Mustern der Anlagen 6 bis 8 vorgesehen ist. In den Fällen des § 3 Absatz 5 Satz 3 sind die Kennwerte zu verwenden, die in den Bekanntmachungen nach § 3 Absatz 5 Satz 1 der jeweils zutreffenden Ausstattungsvariante zugewiesen sind.</w:t>
      </w:r>
    </w:p>
    <w:p>
      <w:r>
        <w:t xml:space="preserve">(2) Werden Energieausweise für bestehende Gebäude auf der Grundlage des berechneten Energiebedarfs ausgestellt, ist auf die erforderlichen Berechnungen § 9 Abs. 2 entsprechend anzuwenden. Die Ergebnisse sind in den Energieausweisen anzugeben, soweit ihre Angabe für Energiebedarfswerte in den Mustern der Anlagen 6 bis 8 vorgesehen ist.</w:t>
      </w:r>
    </w:p>
    <w:p>
      <w:r>
        <w:rPr>
          <w:color w:val="555555"/>
          <w:sz w:val="17"/>
        </w:rPr>
        <w:t xml:space="preserve">Zitiervorschlag: § 18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