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EnEV 2007 — Grundsätze des Energieausweises</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Der Aussteller hat Energieausweise nach § 16 auf der Grundlage des berechneten Energiebedarfs (Energiebedarfsausweis) oder des erfassten Energieverbrauchs (Energieverbrauchsausweis) nach Maßgabe der Absätze 2 bis 6 sowie der §§ 18 und 19 auszustellen. Es ist zulässig, sowohl den Energiebedarf als auch den Energieverbrauch anzugeben.</w:t>
      </w:r>
    </w:p>
    <w:p>
      <w:r>
        <w:t xml:space="preserve">(2) Energieausweise dürfen in den Fällen des § 16 Abs. 1 nur auf der Grundlage des Energiebedarfs ausgestellt werden. In den Fällen des § 16 Abs. 2 sind ab dem 1. Oktober 2008 Energieausweise für Wohngebäude, die weniger als fünf Wohnungen haben und für die der Bauantrag vor dem 1. November 1977 gestellt worden ist, auf der Grundlage des Energiebedarfs auszustellen. Satz 2 gilt nicht, wenn das Wohngebäude</w:t>
      </w:r>
    </w:p>
    <w:p>
      <w:pPr>
        <w:ind w:left="420"/>
      </w:pPr>
      <w:r>
        <w:t xml:space="preserve">1. schon bei der Baufertigstellung das Anforderungsniveau der Wärmeschutzverordnung vom 11. August 1977 (BGBl. I S. 1554) eingehalten hat oder</w:t>
      </w:r>
    </w:p>
    <w:p>
      <w:pPr>
        <w:ind w:left="420"/>
      </w:pPr>
      <w:r>
        <w:t xml:space="preserve">2. durch spätere Änderungen mindestens auf das in Nummer 1 bezeichnete Anforderungsniveau gebracht worden ist.</w:t>
      </w:r>
    </w:p>
    <w:p>
      <w:r>
        <w:t xml:space="preserve">Bei der Ermittlung der energetischen Eigenschaften des Wohngebäudes nach Satz 3 können die Bestimmungen über die vereinfachte Datenerhebung nach § 9 Abs. 2 Satz 2 und die Datenbereitstellung durch den Eigentümer nach Absatz 5 angewendet werden.</w:t>
      </w:r>
    </w:p>
    <w:p>
      <w:r>
        <w:t xml:space="preserve">(3) Energieausweise werden für Gebäude ausgestellt. Sie sind für Teile von Gebäuden auszustellen, wenn die Gebäudeteile nach § 22 getrennt zu behandeln sind.</w:t>
      </w:r>
    </w:p>
    <w:p>
      <w:r>
        <w:t xml:space="preserve">(4) Energieausweise einschließlich Modernisierungsempfehlungen müssen nach Inhalt und Aufbau den Mustern in den Anlagen 6 bis 9 entsprechen und mindestens die dort für die jeweilige Ausweisart geforderten, nicht als freiwillig gekennzeichneten Angaben enthalten. Zusätzliche, nicht personenbezogene Angaben können beigefügt werden. Energieausweise sind vom Aussteller unter Angabe seines Namens, seiner Anschrift und Berufsbezeichnung sowie des Ausstellungsdatums eigenhändig oder durch Nachbildung der Unterschrift zu unterschreiben. Vor Übergabe des neu ausgestellten Energieausweises an den Eigentümer hat der Aussteller die nach § 26c Absatz 2 zugeteilte Registriernummer einzutragen. Hat bei elektronischer Antragstellung die nach § 26c zuständige Registrierstelle bis zum Ablauf von drei Arbeitstagen nach Antragstellung und in sonstigen Fällen der Antragstellung bis zum Ablauf von sieben Arbeitstagen nach Antragstellung keine Registriernummer zugeteilt, sind statt der Registriernummer die Wörter „Registriernummer wurde beantragt am“ und das Datum der Antragstellung bei der Registrierstelle einzutragen (vorläufiger Energieausweis). Unverzüglich nach Erhalt der Registriernummer hat der Aussteller dem Eigentümer eine Ausfertigung des Energieausweises mit der eingetragenen Registriernummer zu übermitteln. Nach Zugang des vervollständigten Energieausweises beim Eigentümer verliert der vorläufige Energieausweis seine Gültigkeit. Die Modernisierungsempfehlungen nach § 20 sind Bestandteil der Energieausweise nach den Mustern in den Anlagen 6 und 7.</w:t>
      </w:r>
    </w:p>
    <w:p>
      <w:r>
        <w:t xml:space="preserve">(5) Der Eigentümer kann die zur Ausstellung des Energieausweises nach § 18 Absatz 1 Satz 1 oder Absatz 2 Satz 1 in Verbindung mit den Anlagen 1, 2 und 3 Nummer 8 oder nach § 19 Absatz 1 Satz 1 und 3, Absatz 2 Satz 1 oder 5 und Absatz 3 Satz 1 erforderlichen Daten bereitstellen. Der Eigentümer muss dafür Sorge tragen, dass die von ihm nach Satz 1 bereitgestellten Daten richtig sind. Der Aussteller darf die vom Eigentümer bereitgestellten Daten seinen Berechnungen nicht zugrunde legen, soweit begründeter Anlass zu Zweifeln an deren Richtigkeit besteht. Soweit der Aussteller des Energieausweises die Daten selbst ermittelt hat, ist Satz 2 entsprechend anzuwenden.</w:t>
      </w:r>
    </w:p>
    <w:p>
      <w:r>
        <w:t xml:space="preserve">(6) Energieausweise sind für eine Gültigkeitsdauer von zehn Jahren auszustellen. Unabhängig davon verlieren Energieausweise ihre Gültigkeit, wenn nach § 16 Absatz 1 ein neuer Energieausweis erforderlich wird.</w:t>
      </w:r>
    </w:p>
    <w:p>
      <w:r>
        <w:rPr>
          <w:color w:val="555555"/>
          <w:sz w:val="17"/>
        </w:rPr>
        <w:t xml:space="preserve">Zitiervorschlag: § 17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