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16a EnEV 2007 — Pflichtangaben in Immobilienanzeigen</w:t>
      </w:r>
    </w:p>
    <w:p>
      <w:r>
        <w:rPr>
          <w:color w:val="555555"/>
          <w:sz w:val="18"/>
        </w:rPr>
        <w:t xml:space="preserve">Energieeinsparverordnung</w:t>
      </w:r>
    </w:p>
    <w:p>
      <w:r>
        <w:rPr>
          <w:color w:val="555555"/>
          <w:sz w:val="18"/>
        </w:rPr>
        <w:t xml:space="preserve">Historische Fassung: Stand 10.06.2019 bis 06.11.2020. Dies ist nicht die aktuelle Fassung.</w:t>
      </w:r>
    </w:p>
    <w:p>
      <w:r>
        <w:t xml:space="preserve">(1) Wird in Fällen des § 16 Absatz 2 Satz 1 vor dem Verkauf eine Immobilienanzeige in kommerziellen Medien aufgegeben und liegt zu diesem Zeitpunkt ein Energieausweis vor, so hat der Verkäufer sicherzustellen, dass die Immobilienanzeige folgende Pflichtangaben enthält:</w:t>
      </w:r>
    </w:p>
    <w:p>
      <w:pPr>
        <w:ind w:left="420"/>
      </w:pPr>
      <w:r>
        <w:t xml:space="preserve">1. die Art des Energieausweises: Energiebedarfsausweis oder Energieverbrauchsausweis im Sinne des § 17 Absatz 1 Satz 1,</w:t>
      </w:r>
    </w:p>
    <w:p>
      <w:pPr>
        <w:ind w:left="420"/>
      </w:pPr>
      <w:r>
        <w:t xml:space="preserve">2. den im Energieausweis genannten Wert des Endenergiebedarfs oder Endenergieverbrauchs für das Gebäude,</w:t>
      </w:r>
    </w:p>
    <w:p>
      <w:pPr>
        <w:ind w:left="420"/>
      </w:pPr>
      <w:r>
        <w:t xml:space="preserve">3. die im Energieausweis genannten wesentlichen Energieträger für die Heizung des Gebäudes,</w:t>
      </w:r>
    </w:p>
    <w:p>
      <w:pPr>
        <w:ind w:left="420"/>
      </w:pPr>
      <w:r>
        <w:t xml:space="preserve">4. bei Wohngebäuden das im Energieausweis genannte Baujahr und</w:t>
      </w:r>
    </w:p>
    <w:p>
      <w:pPr>
        <w:ind w:left="420"/>
      </w:pPr>
      <w:r>
        <w:t xml:space="preserve">5. bei Wohngebäuden die im Energieausweis genannte Energieeffizienzklasse.</w:t>
      </w:r>
    </w:p>
    <w:p>
      <w:r>
        <w:t xml:space="preserve">Bei Nichtwohngebäuden ist bei Energiebedarfs- und bei Energieverbrauchsausweisen als Pflichtangabe nach Satz 1 Nummer 2 der Endenergiebedarf oder Endenergieverbrauch sowohl für Wärme als auch für Strom jeweils getrennt aufzuführen.</w:t>
      </w:r>
    </w:p>
    <w:p>
      <w:r>
        <w:t xml:space="preserve">(2) Absatz 1 ist entsprechend anzuwenden auf den Vermieter, Verpächter und Leasinggeber bei Immobilienanzeigen zur Vermietung, Verpachtung oder zum Leasing eines Gebäudes, einer Wohnung oder einer sonstigen selbständigen Nutzungseinheit.</w:t>
      </w:r>
    </w:p>
    <w:p>
      <w:r>
        <w:t xml:space="preserve">(3) Bei Energieausweisen, die nach dem 30. September 2007 und vor dem 1. Mai 2014 ausgestellt worden sind, und bei Energieausweisen nach § 29 Absatz 1 sind die Pflichten der Absätze 1 und 2 nach Maßgabe des § 29 Absatz 2 und 3 zu erfüllen.</w:t>
      </w:r>
    </w:p>
    <w:p>
      <w:r>
        <w:rPr>
          <w:color w:val="555555"/>
          <w:sz w:val="17"/>
        </w:rPr>
        <w:t xml:space="preserve">Zitiervorschlag: § 16a EnEV 2007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https://recht.nulegal.eu/gesetze/EnEV%202007/16a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