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EnEV 2007 — Klimaanlagen und sonstige Anlagen der Raumlufttechnik</w:t>
      </w:r>
    </w:p>
    <w:p>
      <w:r>
        <w:rPr>
          <w:color w:val="555555"/>
          <w:sz w:val="18"/>
        </w:rPr>
        <w:t xml:space="preserve">Energieeinsparverordnung</w:t>
      </w:r>
    </w:p>
    <w:p>
      <w:r>
        <w:rPr>
          <w:color w:val="555555"/>
          <w:sz w:val="18"/>
        </w:rPr>
        <w:t xml:space="preserve">Historische Fassung: Stand 10.06.2019 bis 06.11.2020. Dies ist nicht die aktuelle Fassung.</w:t>
      </w:r>
    </w:p>
    <w:p>
      <w:r>
        <w:t xml:space="preserve">(1) Beim Einbau von Klimaanlagen mit einer Nennleistung für den Kältebedarf von mehr als zwölf Kilowatt und raumlufttechnischen Anlagen, die für einen Volumenstrom der Zuluft von wenigstens 4 000 Kubikmeter je Stunde ausgelegt sind, in Gebäude sowie bei der Erneuerung von Zentralgeräten oder Luftkanalsystemen solcher Anlagen müssen diese Anlagen so ausgeführt werden, dass</w:t>
      </w:r>
    </w:p>
    <w:p>
      <w:pPr>
        <w:ind w:left="420"/>
      </w:pPr>
      <w:r>
        <w:t xml:space="preserve">1. die auf das Fördervolumen bezogene elektrische Leistung der Einzelventilatoren oder</w:t>
      </w:r>
    </w:p>
    <w:p>
      <w:pPr>
        <w:ind w:left="420"/>
      </w:pPr>
      <w:r>
        <w:t xml:space="preserve">2. der gewichtete Mittelwert der auf das jeweilige Fördervolumen bezogenen elektrischen Leistungen aller Zu- und Abluftventilatoren</w:t>
      </w:r>
    </w:p>
    <w:p>
      <w:r>
        <w:t xml:space="preserve">bei Auslegungsvolumenstrom den Grenzwert der Kategorie SFP 4 nach DIN EN 13779 : 2007-09 nicht überschreitet. Der Grenzwert für die Klasse SFP 4 kann um Zuschläge nach DIN EN 13779 : 2007-09 Abschnitt 6.5.2 für Gas- und HEPA-Filter sowie Wärmerückführungsbauteile der Klassen H2 oder H1 nach DIN EN 13053 : 2007-11 erweitert werden.</w:t>
      </w:r>
    </w:p>
    <w:p>
      <w:r>
        <w:t xml:space="preserve">(2) Beim Einbau von Anlagen nach Absatz 1 Satz 1 in Gebäude und bei der Erneuerung von Zentralgeräten solcher Anlagen müssen, soweit diese Anlagen dazu bestimmt sind, die Feuchte der Raumluft unmittelbar zu verändern, diese Anlagen mit selbsttätig wirkenden Regelungseinrichtungen ausgestattet werden, bei denen getrennte Sollwerte für die Be- und die Entfeuchtung eingestellt werden können und als Führungsgröße mindestens die direkt gemessene Zu- oder Abluftfeuchte dient. Sind solche Einrichtungen in bestehenden Anlagen nach Absatz 1 Satz 1 nicht vorhanden, muss der Betreiber sie bei Klimaanlagen innerhalb von sechs Monaten nach Ablauf der jeweiligen Frist des § 12 Absatz 3, bei sonstigen raumlufttechnischen Anlagen in entsprechender Anwendung der jeweiligen Fristen des § 12 Absatz 3, nachrüsten.</w:t>
      </w:r>
    </w:p>
    <w:p>
      <w:r>
        <w:t xml:space="preserve">(3) Beim Einbau von Anlagen nach Absatz 1 Satz 1 in Gebäude und bei der Erneuerung von Zentralgeräten oder Luftkanalsystemen solcher Anlagen müssen diese Anlagen mit Einrichtungen zur selbsttätigen Regelung der Volumenströme in Abhängigkeit von den thermischen und stofflichen Lasten oder zur Einstellung der Volumenströme in Abhängigkeit von der Zeit ausgestattet werden, wenn der Zuluftvolumenstrom dieser Anlagen je Quadratmeter versorgter Nettogrundfläche, bei Wohngebäuden je Quadratmeter versorgter Gebäudenutzfläche neun Kubikmeter pro Stunde überschreitet. Satz 1 gilt nicht, soweit in den versorgten Räumen auf Grund des Arbeits- oder Gesundheitsschutzes erhöhte Zuluftvolumenströme erforderlich sind oder Laständerungen weder messtechnisch noch hinsichtlich des zeitlichen Verlaufes erfassbar sind.</w:t>
      </w:r>
    </w:p>
    <w:p>
      <w:r>
        <w:t xml:space="preserve">(4) Werden Kälteverteilungs- und Kaltwasserleitungen und Armaturen, die zu Anlagen im Sinne des Absatzes 1 Satz 1 gehören, erstmalig in Gebäude eingebaut oder ersetzt, ist deren Wärmeaufnahme nach Anlage 5 zu begrenzen.</w:t>
      </w:r>
    </w:p>
    <w:p>
      <w:r>
        <w:t xml:space="preserve">(5) Werden Anlagen nach Absatz 1 Satz 1 in Gebäude eingebaut oder Zentralgeräte solcher Anlagen erneuert, müssen diese mit einer Einrichtung zur Wärmerückgewinnung ausgestattet sein, die mindestens der Klassifizierung H3 nach DIN EN 13053 : 2007-11 entspricht. Für die Betriebsstundenzahl sind die Nutzungsrandbedingungen nach DIN V 18599-10 : 2011-12 und für den Luftvolumenstrom der Außenluftvolumenstrom maßgebend.</w:t>
      </w:r>
    </w:p>
    <w:p>
      <w:r>
        <w:rPr>
          <w:color w:val="555555"/>
          <w:sz w:val="17"/>
        </w:rPr>
        <w:t xml:space="preserve">Zitiervorschlag: § 15 EnEV 2007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https://recht.nulegal.eu/gesetze/EnEV%202007/15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