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EnEV 2007 — Inbetriebnahme von Heizkesseln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Heizkessel, die mit flüssigen oder gasförmigen Brennstoffen beschickt werden und deren Nennleistung mindestens vier Kilowatt und höchstens 400 Kilowatt beträgt, dürfen zum Zwecke der Inbetriebnahme in Gebäuden nur eingebaut oder aufgestellt werden, wenn sie mit der CE-Kennzeichnung nach § 5 Abs. 1 und 2 der Verordnung über das Inverkehrbringen von Heizkesseln und Geräten nach dem Bauproduktengesetz vom 28. April 1998 (BGBl. I S. 796), die zuletzt durch Artikel 5 des Gesetzes vom 5. Dezember 2012 (BGBl. I S. 2449) geändert worden ist, oder nach Artikel 7 Abs. 1 Satz 2 der Richtlinie 92/42/EWG des Rates vom 21. Mai 1992 über die Wirkungsgrade von mit flüssigen oder gasförmigen Brennstoffen beschickten neuen Warmwasserheizkesseln (ABl. EG Nr. L 167 S. 17, L 195 S. 32), die zuletzt durch die Richtlinie 2008/28/EG des Europäischen Parlaments und des Rates vom 11. März 2008 (ABl. L 81 vom 20.3.2008, S. 48) geändert worden ist, versehen sind. Satz 1 gilt auch für Heizkessel, die aus Geräten zusammengefügt werden, soweit dabei die Parameter beachtet werden, die sich aus der den Geräten beiliegenden EG-Konformitätserklärung ergeben.</w:t>
      </w:r>
    </w:p>
    <w:p>
      <w:r>
        <w:t xml:space="preserve">(2) Heizkessel dürfen in Gebäuden nur dann zum Zwecke der Inbetriebnahme eingebaut oder aufgestellt werden, wenn die Anforderungen nach Anlage 4a eingehalten werden. Ausgenommen sind bestehende Gebäude, wenn deren Jahres-Primärenergiebedarf den Wert des Jahres-Primärenergiebedarfs des Referenzgebäudes um nicht mehr als 40 vom Hundert überschreitet.</w:t>
      </w:r>
    </w:p>
    <w:p>
      <w:r>
        <w:t xml:space="preserve">(3) Absatz 1 ist nicht anzuwenden auf</w:t>
      </w:r>
    </w:p>
    <w:p>
      <w:pPr>
        <w:ind w:left="420"/>
      </w:pPr>
      <w:r>
        <w:t xml:space="preserve">1. einzeln produzierte Heizkessel,</w:t>
      </w:r>
    </w:p>
    <w:p>
      <w:pPr>
        <w:ind w:left="420"/>
      </w:pPr>
      <w:r>
        <w:t xml:space="preserve">2. Heizkessel, die für den Betrieb mit Brennstoffen ausgelegt sind, deren Eigenschaften von den marktüblichen flüssigen und gasförmigen Brennstoffen erheblich abweichen,</w:t>
      </w:r>
    </w:p>
    <w:p>
      <w:pPr>
        <w:ind w:left="420"/>
      </w:pPr>
      <w:r>
        <w:t xml:space="preserve">3. Anlagen zur ausschließlichen Warmwasserbereitung,</w:t>
      </w:r>
    </w:p>
    <w:p>
      <w:pPr>
        <w:ind w:left="420"/>
      </w:pPr>
      <w:r>
        <w:t xml:space="preserve">4. Küchenherde und Geräte, die hauptsächlich zur Beheizung des Raumes, in dem sie eingebaut oder aufgestellt sind, ausgelegt sind, daneben aber auch Warmwasser für die Zentralheizung und für sonstige Gebrauchszwecke liefern,</w:t>
      </w:r>
    </w:p>
    <w:p>
      <w:pPr>
        <w:ind w:left="420"/>
      </w:pPr>
      <w:r>
        <w:t xml:space="preserve">5. Geräte mit einer Nennleistung von weniger als sechs Kilowatt zur Versorgung eines Warmwasserspeichersystems mit Schwerkraftumlauf.</w:t>
      </w:r>
    </w:p>
    <w:p>
      <w:r>
        <w:rPr>
          <w:color w:val="555555"/>
          <w:sz w:val="17"/>
        </w:rPr>
        <w:t xml:space="preserve">Zitiervorschlag: § 13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