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EnEV 2007 — Nachrüstung bei Anlagen und Gebäuden</w:t>
      </w:r>
    </w:p>
    <w:p>
      <w:r>
        <w:rPr>
          <w:color w:val="555555"/>
          <w:sz w:val="18"/>
        </w:rPr>
        <w:t xml:space="preserve">Energieeinsparverordnung</w:t>
      </w:r>
    </w:p>
    <w:p>
      <w:r>
        <w:rPr>
          <w:color w:val="555555"/>
          <w:sz w:val="18"/>
        </w:rPr>
        <w:t xml:space="preserve">Historische Fassung: Stand 10.06.2019 bis 06.11.2020. Dies ist nicht die aktuelle Fassung.</w:t>
      </w:r>
    </w:p>
    <w:p>
      <w:r>
        <w:t xml:space="preserve">(1) Eigentümer von Gebäuden dürfen Heizkessel, die mit flüssigen oder gasförmigen Brennstoffen beschickt werden und vor dem 1. Oktober 1978 eingebaut oder aufgestellt worden sind, nicht mehr betreiben. Eigentümer von Gebäuden dürfen Heizkessel, die mit flüssigen oder gasförmigen Brennstoffen beschickt werden und vor dem 1. Januar 1985 eingebaut oder aufgestellt worden sind, ab 2015 nicht mehr betreiben. Eigentümer von Gebäuden dürfen Heizkessel, die mit flüssigen oder gasförmigen Brennstoffen beschickt werden und nach dem 1. Januar 1985 eingebaut oder aufgestellt worden sind, nach Ablauf von 30 Jahren nicht mehr betreiben. Die Sätze 1 bis 3 sind nicht anzuwenden, wenn die vorhandenen Heizkessel Niedertemperatur-Heizkessel oder Brennwertkessel sind, sowie auf heizungstechnische Anlagen, deren Nennleistung weniger als vier Kilowatt oder mehr als 400 Kilowatt beträgt, und auf Heizkessel nach § 13 Absatz 3 Nummer 2 bis 4.</w:t>
      </w:r>
    </w:p>
    <w:p>
      <w:r>
        <w:t xml:space="preserve">(2) Eigentümer von Gebäuden müssen dafür sorgen, dass bei heizungstechnischen Anlagen bisher ungedämmte, zugängliche Wärmeverteilungs- und Warmwasserleitungen sowie Armaturen, die sich nicht in beheizten Räumen befinden, nach Anlage 5 zur Begrenzung der Wärmeabgabe gedämmt sind.</w:t>
      </w:r>
    </w:p>
    <w:p>
      <w:r>
        <w:t xml:space="preserve">(3) Eigentümer von Wohngebäuden sowie von Nichtwohngebäuden, die nach ihrer Zweckbestimmung jährlich mindestens vier Monate und auf Innentemperaturen von mindestens 19 Grad Celsius beheizt werden, müssen dafür sorgen, dass zugängliche Decken beheizter Räume zum unbeheizten Dachraum (oberste Geschossdecken), die nicht die Anforderungen an den Mindestwärmeschutz nach DIN 4108-2 : 2013-02 erfüllen, nach dem 31. Dezember 2015 so gedämmt sind, dass der Wärmedurchgangskoeffizient der obersten Geschossdecke 0,24 Watt/(m2·K) nicht überschreitet. Die Pflicht nach Satz 1 gilt als erfüllt, wenn anstelle der obersten Geschossdecke das darüberliegende Dach entsprechend gedämmt ist oder den Anforderungen an den Mindestwärmeschutz nach DIN 4108-2 : 2013-02 genügt. Bei Maßnahmen zur Dämmung nach den Sätzen 1 und 2 in Deckenzwischenräumen oder Sparrenzwischenräumen ist Anlage 3 Nummer 4 Satz 4 und 6 entsprechend anzuwenden.</w:t>
      </w:r>
    </w:p>
    <w:p>
      <w:r>
        <w:t xml:space="preserve">(4) Bei Wohngebäuden mit nicht mehr als zwei Wohnungen, von denen der Eigentümer eine Wohnung am 1. Februar 2002 selbst bewohnt hat, sind die Pflichten nach den Absätzen 1 bis 3 erst im Falle eines Eigentümerwechsels nach dem 1. Februar 2002 von dem neuen Eigentümer zu erfüllen. Die Frist zur Pflichterfüllung beträgt zwei Jahre ab dem ersten Eigentumsübergang.</w:t>
      </w:r>
    </w:p>
    <w:p>
      <w:r>
        <w:t xml:space="preserve">(5) Die Absätze 2 bis 4 sind nicht anzuwenden, soweit die für die Nachrüstung erforderlichen Aufwendungen durch die eintretenden Einsparungen nicht innerhalb angemessener Frist erwirtschaftet werden können.</w:t>
      </w:r>
    </w:p>
    <w:p>
      <w:r>
        <w:rPr>
          <w:color w:val="555555"/>
          <w:sz w:val="17"/>
        </w:rPr>
        <w:t xml:space="preserve">Zitiervorschlag: § 10 EnEV 2007</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https://recht.nulegal.eu/gesetze/EnEV%202007/10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