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EnEG — Bußgeldvorschriften</w:t>
      </w:r>
    </w:p>
    <w:p>
      <w:r>
        <w:rPr>
          <w:color w:val="555555"/>
          <w:sz w:val="18"/>
        </w:rPr>
        <w:t xml:space="preserve">Energieeinsparungsgesetz</w:t>
      </w:r>
    </w:p>
    <w:p>
      <w:r>
        <w:rPr>
          <w:color w:val="555555"/>
          <w:sz w:val="18"/>
        </w:rPr>
        <w:t xml:space="preserve">Historische Fassung: Stand 10.06.2019 bis 06.11.2020. Dies ist nicht die aktuelle Fassung.</w:t>
      </w:r>
    </w:p>
    <w:p>
      <w:r>
        <w:t xml:space="preserve">(1) Ordnungswidrig handelt, wer vorsätzlich oder leichtfertig einer Rechtsverordnung</w:t>
      </w:r>
    </w:p>
    <w:p>
      <w:pPr>
        <w:ind w:left="420"/>
      </w:pPr>
      <w:r>
        <w:t xml:space="preserve">1. nach § 1 Abs. 2 Satz 1 oder 2, § 2 Abs. 2 auch in Verbindung mit Abs. 3, oder § 4 Abs. 1, 2 oder Abs. 3 Satz 1, auch in Verbindung mit Satz 3,</w:t>
      </w:r>
    </w:p>
    <w:p>
      <w:pPr>
        <w:ind w:left="420"/>
      </w:pPr>
      <w:r>
        <w:t xml:space="preserve">2. nach § 3 Absatz 2 Satz 1 oder § 5a Satz 1 oder</w:t>
      </w:r>
    </w:p>
    <w:p>
      <w:pPr>
        <w:ind w:left="420"/>
      </w:pPr>
      <w:r>
        <w:t xml:space="preserve">3. nach § 7 Absatz 4 Satz 1, § 7a, § 7b Absatz 1 Satz 1 oder Satz 3 oder § 7b Absatz 3</w:t>
      </w:r>
    </w:p>
    <w:p>
      <w:r>
        <w:t xml:space="preserve">oder einer vollziehbaren Anordnung auf Grund einer solchen Rechtsverordnung zuwiderhandelt, soweit die Rechtsverordnung für einen bestimmten Tatbestand auf diese Bußgeldvorschrift verweist.</w:t>
      </w:r>
    </w:p>
    <w:p>
      <w:r>
        <w:t xml:space="preserve">(2) Ordnungswidrig handelt, wer vorsätzlich oder leichtfertig entgegen § 2a Absatz 1 Satz 1 in Verbindung mit einer Rechtsverordnung nach § 2a Absatz 2 ein Gebäude nicht richtig errichtet.</w:t>
      </w:r>
    </w:p>
    <w:p>
      <w:r>
        <w:t xml:space="preserve">(3) Die Ordnungswidrigkeit kann in den Fällen des Absatzes 1 Nr. 1 und des Absatzes 2 mit einer Geldbuße bis zu fünfzigtausend Euro, in den Fällen des Absatzes 1 Nr. 2 mit einer Geldbuße bis zu fünfzehntausend Euro und in den übrigen Fällen mit einer Geldbuße bis zu fünftausend Euro geahndet werden.</w:t>
      </w:r>
    </w:p>
    <w:p>
      <w:r>
        <w:rPr>
          <w:color w:val="555555"/>
          <w:sz w:val="17"/>
        </w:rPr>
        <w:t xml:space="preserve">Zitiervorschlag: § 8 EnEG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