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EnEG — Überwachung</w:t>
      </w:r>
    </w:p>
    <w:p>
      <w:r>
        <w:rPr>
          <w:color w:val="555555"/>
          <w:sz w:val="18"/>
        </w:rPr>
        <w:t xml:space="preserve">Energieeinsparungsgesetz</w:t>
      </w:r>
    </w:p>
    <w:p>
      <w:r>
        <w:rPr>
          <w:color w:val="555555"/>
          <w:sz w:val="18"/>
        </w:rPr>
        <w:t xml:space="preserve">Historische Fassung: Stand 10.06.2019 bis 06.11.2020. Dies ist nicht die aktuelle Fassung.</w:t>
      </w:r>
    </w:p>
    <w:p>
      <w:r>
        <w:t xml:space="preserve">(1) Die zuständigen Behörden haben darüber zu wachen, dass die in den Rechtsverordnungen nach diesem Gesetz festgesetzten Anforderungen erfüllt werden, soweit die Erfüllung dieser Anforderungen nicht schon nach anderen Rechtsvorschriften im erforderlichen Umfang überwacht wird.</w:t>
      </w:r>
    </w:p>
    <w:p>
      <w:r>
        <w:t xml:space="preserve">(1a) Die Bundesregierung wird ermächtigt, durch Rechtsverordnung mit Zustimmung des Bundesrates die Art und das Verfahren der Überwachung von in den Rechtsverordnungen nach diesem Gesetz festgesetzten Anforderungen an zu errichtende Gebäude zu regeln. Durch Landesrecht können Anforderungen an die Art der Überwachung geregelt werden, die über die in einer Rechtsverordnung nach Satz 1 hierzu getroffenen Regelungen hinausgehen. Zur Ermöglichung der Durchführung der Überwachung können in der Rechtsverordnung nach Satz 1 Regelungen über die Erhebung, Verarbeitung und Nutzung der hierfür erforderlichen Daten, einschließlich personenbezogener Daten, getroffen werden.</w:t>
      </w:r>
    </w:p>
    <w:p>
      <w:r>
        <w:t xml:space="preserve">(2) Die Landesregierungen oder die von ihnen bestimmten Stellen werden vorbehaltlich des Absatzes 3 sowie des § 7b ermächtigt, durch Rechtsverordnung die Überwachung hinsichtlich der in den Rechtsverordnungen nach den §§ 1 bis 2a und 5a Satz 2 Nr. 8 festgesetzten Anforderungen ganz oder teilweise auf geeignete Stellen, Fachvereinigungen oder Sachverständige zu übertragen. Soweit sich § 4 auf die §§ 1 bis 2a bezieht, gilt Satz 1 entsprechend.</w:t>
      </w:r>
    </w:p>
    <w:p>
      <w:r>
        <w:t xml:space="preserve">(3) Die Bundesregierung wird vorbehaltlich des § 7b ermächtigt, durch Rechtsverordnung mit Zustimmung des Bundesrates die Überwachung hinsichtlich der durch Rechtsverordnung nach § 3 festgesetzten Anforderungen auf geeignete Stellen, Fachvereinigungen oder Sachverständige zu übertragen. Soweit sich § 4 auf § 3 bezieht, gilt Satz 1 entsprechend. Satz 1 gilt auch für die Überwachung von in Rechtsverordnungen nach § 2 Abs. 3 und § 4 Abs. 3 Satz 1 und 3 festgesetzten Anforderungen an Heizungs- sowie Warmwasserversorgungsanlagen und -einrichtungen. Im Zusammenhang mit Regelungen zur Überwachung nach Satz 3 können ergänzend Bestimmungen über die Erteilung weitergehender Empfehlungen getroffen werden.</w:t>
      </w:r>
    </w:p>
    <w:p>
      <w:r>
        <w:t xml:space="preserve">(4) In den Rechtsverordnungen nach den Absätzen 2 und 3 kann die Art und das Verfahren der Überwachung geregelt werden; ferner können Anzeige- und Nachweispflichten vorgeschrieben werden. Es ist vorzusehen, dass in der Regel Anforderungen auf Grund der §§ 1 bis 2a nur einmal und Anforderungen auf Grund des § 3 höchstens einmal im Jahr überwacht werden; bei Anlagen in Einfamilienhäusern, kleinen und mittleren Mehrfamilienhäusern und vergleichbaren Nichtwohngebäuden ist eine längere Überwachungsfrist vorzusehen.</w:t>
      </w:r>
    </w:p>
    <w:p>
      <w:r>
        <w:t xml:space="preserve">(5) In der Rechtsverordnung nach Absatz 3 ist vorzusehen, dass</w:t>
      </w:r>
    </w:p>
    <w:p>
      <w:pPr>
        <w:ind w:left="420"/>
      </w:pPr>
      <w:r>
        <w:t xml:space="preserve">1. eine Überwachung von Anlagen mit einer geringen Wärmeleistung entfällt,</w:t>
      </w:r>
    </w:p>
    <w:p>
      <w:pPr>
        <w:ind w:left="420"/>
      </w:pPr>
      <w:r>
        <w:t xml:space="preserve">2. die Überwachung der Erfüllung von Anforderungen sich auf die Kontrolle von Nachweisen beschränkt, soweit die Wartung durch eigenes Fachpersonal oder auf Grund von Wartungsverträgen durch Fachbetriebe sichergestellt ist.</w:t>
      </w:r>
    </w:p>
    <w:p>
      <w:r>
        <w:t xml:space="preserve">(6) In Rechtsverordnungen nach § 4 Abs. 3 kann vorgesehen werden, dass die Überwachung ihrer Einhaltung entfällt.</w:t>
      </w:r>
    </w:p>
    <w:p>
      <w:r>
        <w:rPr>
          <w:color w:val="555555"/>
          <w:sz w:val="17"/>
        </w:rPr>
        <w:t xml:space="preserve">Zitiervorschlag: § 7 EnEG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