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EnEG — Energieausweise</w:t>
      </w:r>
    </w:p>
    <w:p>
      <w:r>
        <w:rPr>
          <w:color w:val="555555"/>
          <w:sz w:val="18"/>
        </w:rPr>
        <w:t xml:space="preserve">Energieeinsparungsgesetz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Die Bundesregierung wird ermächtigt, zur Umsetzung oder Durchführung von Rechtsakten der Europäischen Union durch Rechtsverordnung mit Zustimmung des Bundesrates Inhalte und Verwendung von Energieausweisen auf Bedarfs- und Verbrauchsgrundlage vorzugeben und dabei zu bestimmen, welche Angaben und Kennwerte über die Energieeffizienz eines Gebäudes, eines Gebäudeteils, eines Bauteils oder in § 2 Abs. 1 genannter Anlagen oder Einrichtungen darzustellen sind. Die Vorgaben können sich insbesondere beziehen auf</w:t>
      </w:r>
    </w:p>
    <w:p>
      <w:pPr>
        <w:ind w:left="420"/>
      </w:pPr>
      <w:r>
        <w:t xml:space="preserve">1. die Arten der betroffenen Gebäude, Gebäudeteile und Anlagen oder Einrichtungen,</w:t>
      </w:r>
    </w:p>
    <w:p>
      <w:pPr>
        <w:ind w:left="420"/>
      </w:pPr>
      <w:r>
        <w:t xml:space="preserve">2. die Zeitpunkte und Anlässe für die Ausstellung und Aktualisierung von Energieausweisen,</w:t>
      </w:r>
    </w:p>
    <w:p>
      <w:pPr>
        <w:ind w:left="420"/>
      </w:pPr>
      <w:r>
        <w:t xml:space="preserve">3. die Ermittlung, Dokumentation und Aktualisierung von Angaben und Kennwerten,</w:t>
      </w:r>
    </w:p>
    <w:p>
      <w:pPr>
        <w:ind w:left="420"/>
      </w:pPr>
      <w:r>
        <w:t xml:space="preserve">4. die Angabe von Referenzwerten, wie gültige Rechtsnormen und Vergleichskennwerte,</w:t>
      </w:r>
    </w:p>
    <w:p>
      <w:pPr>
        <w:ind w:left="420"/>
      </w:pPr>
      <w:r>
        <w:t xml:space="preserve">5. Empfehlungen für kosteneffiziente Verbesserungen der Energieeffizienz,</w:t>
      </w:r>
    </w:p>
    <w:p>
      <w:pPr>
        <w:ind w:left="420"/>
      </w:pPr>
      <w:r>
        <w:t xml:space="preserve">6. die Verpflichtung, Energieausweise Behörden und bestimmten Dritten vorzulegen oder zu übergeben sowie Angaben aus Energieausweisen in Immobilienanzeigen in kommerziellen Medien, insbesondere bei Verkauf und Vermietung, zu nennen,</w:t>
      </w:r>
    </w:p>
    <w:p>
      <w:pPr>
        <w:ind w:left="420"/>
      </w:pPr>
      <w:r>
        <w:t xml:space="preserve">7. den Aushang von Energieausweisen in Gebäuden mit starkem Publikumsverkehr und die Art der Gebäude,</w:t>
      </w:r>
    </w:p>
    <w:p>
      <w:pPr>
        <w:ind w:left="420"/>
      </w:pPr>
      <w:r>
        <w:t xml:space="preserve">8. die Berechtigung zur Ausstellung von Energieausweisen einschließlich der Anforderungen an die Qualifikation der Aussteller sowie</w:t>
      </w:r>
    </w:p>
    <w:p>
      <w:pPr>
        <w:ind w:left="420"/>
      </w:pPr>
      <w:r>
        <w:t xml:space="preserve">9. die Ausgestaltung der Energieausweise.</w:t>
      </w:r>
    </w:p>
    <w:p>
      <w:r>
        <w:t xml:space="preserve">Die Energieausweise und die Angaben aus den Energieausweisen, die auf Grund einer Verordnung nach Satz 2 Nummer 6 in Immobilienanzeigen in kommerziellen Medien genannt werden müssen, dienen lediglich der Information.</w:t>
      </w:r>
    </w:p>
    <w:p>
      <w:r>
        <w:rPr>
          <w:color w:val="555555"/>
          <w:sz w:val="17"/>
        </w:rPr>
        <w:t xml:space="preserve">Zitiervorschlag: § 5a EnEG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