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EnEG — Energiesparender Betrieb von Anlagen</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Wer Heizungs-, raumlufttechnische, Kühl-, Beleuchtungs- sowie Warmwasserversorgungsanlagen oder -einrichtungen in Gebäuden betreibt oder betreiben lässt, hat dafür Sorge zu tragen, dass sie nach Maßgabe der nach Absatz 2 zu erlassenden Rechtsverordnung so instand gehalten und betrieben werden, dass nicht mehr Energie verbraucht wird, als zu ihrer bestimmungsgemäßen Nutzung erforderlich ist.</w:t>
      </w:r>
    </w:p>
    <w:p>
      <w:r>
        <w:t xml:space="preserve">(2) Die Bundesregierung wird ermächtigt, durch Rechtsverordnung mit Zustimmung des Bundesrates vorzuschreiben, welchen Anforderungen der Betrieb der in Absatz 1 genannten Anlagen und Einrichtungen genügen muss, damit vermeidbare Energieverluste unterbleiben. Die Anforderungen können sich auf die sachkundige Bedienung, Instandhaltung, regelmäßige Wartung, Inspektion einschließlich Inspektionsberichten, die Berechtigung zur Durchführung von Inspektionen sowie die Anforderungen an die Qualifikation der inspizierenden Personen und auf die bestimmungsgemäße Nutzung der Anlagen und Einrichtungen beziehen.</w:t>
      </w:r>
    </w:p>
    <w:p>
      <w:r>
        <w:t xml:space="preserve">(3) Soweit andere Rechtsvorschriften höhere Anforderungen an den Betrieb der in Absatz 1 genannten Anlagen und Einrichtungen stellen, bleiben sie unberührt.</w:t>
      </w:r>
    </w:p>
    <w:p>
      <w:r>
        <w:rPr>
          <w:color w:val="555555"/>
          <w:sz w:val="17"/>
        </w:rPr>
        <w:t xml:space="preserve">Zitiervorschlag: § 3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